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CB" w:rsidRDefault="00A92FCB">
      <w:r>
        <w:t>National Board Certification</w:t>
      </w:r>
    </w:p>
    <w:p w:rsidR="00A92FCB" w:rsidRDefault="00A92FCB">
      <w:r>
        <w:t>$65 application fee</w:t>
      </w:r>
      <w:r w:rsidR="00FB5B5A">
        <w:t xml:space="preserve">, </w:t>
      </w:r>
      <w:r>
        <w:t>$500 initial deposit</w:t>
      </w:r>
      <w:r w:rsidR="00FB5B5A">
        <w:t xml:space="preserve">, </w:t>
      </w:r>
      <w:r>
        <w:t>$2,000 remaining assessment fee</w:t>
      </w:r>
    </w:p>
    <w:p w:rsidR="00FB5B5A" w:rsidRDefault="00A92FCB">
      <w:r>
        <w:t xml:space="preserve">Washington State Conditional loans of $2,000 available to qualified candidates meeting application </w:t>
      </w:r>
      <w:proofErr w:type="gramStart"/>
      <w:r>
        <w:t>deadlines,</w:t>
      </w:r>
      <w:proofErr w:type="gramEnd"/>
      <w:r>
        <w:t xml:space="preserve"> s</w:t>
      </w:r>
      <w:r w:rsidR="00FB5B5A">
        <w:t xml:space="preserve">ee: </w:t>
      </w:r>
      <w:hyperlink r:id="rId5" w:history="1">
        <w:r w:rsidR="00FB5B5A" w:rsidRPr="00AB159E">
          <w:rPr>
            <w:rStyle w:val="Hyperlink"/>
          </w:rPr>
          <w:t>www.k12.wa.us./cert/nbpts</w:t>
        </w:r>
      </w:hyperlink>
      <w:r w:rsidR="00FB5B5A">
        <w:t xml:space="preserve">. Teacher applicant pays application and initial deposit to </w:t>
      </w:r>
      <w:proofErr w:type="spellStart"/>
      <w:r w:rsidR="00FB5B5A">
        <w:t>nbpt</w:t>
      </w:r>
      <w:proofErr w:type="spellEnd"/>
    </w:p>
    <w:p w:rsidR="00FB5B5A" w:rsidRDefault="00FB5B5A">
      <w:r>
        <w:t>Other scholarship sources include:</w:t>
      </w:r>
    </w:p>
    <w:p w:rsidR="00BD7882" w:rsidRDefault="0053538C">
      <w:r w:rsidRPr="0053538C">
        <w:t>http://www.nbpts.org/become_a_candidate/fees_financial_support/scholarships</w:t>
      </w:r>
    </w:p>
    <w:p w:rsidR="0053538C" w:rsidRPr="0053538C" w:rsidRDefault="0053538C" w:rsidP="0053538C">
      <w:pPr>
        <w:spacing w:before="100" w:beforeAutospacing="1" w:after="100" w:afterAutospacing="1" w:line="240" w:lineRule="auto"/>
        <w:outlineLvl w:val="1"/>
        <w:rPr>
          <w:rFonts w:ascii="Times New Roman" w:eastAsia="Times New Roman" w:hAnsi="Times New Roman" w:cs="Times New Roman"/>
          <w:b/>
          <w:bCs/>
          <w:sz w:val="36"/>
          <w:szCs w:val="36"/>
        </w:rPr>
      </w:pPr>
      <w:r w:rsidRPr="0053538C">
        <w:rPr>
          <w:rFonts w:ascii="Times New Roman" w:eastAsia="Times New Roman" w:hAnsi="Times New Roman" w:cs="Times New Roman"/>
          <w:b/>
          <w:bCs/>
          <w:sz w:val="36"/>
          <w:szCs w:val="36"/>
        </w:rPr>
        <w:t>National Board Scholarship Program</w:t>
      </w:r>
    </w:p>
    <w:p w:rsidR="0053538C" w:rsidRPr="0053538C" w:rsidRDefault="0053538C" w:rsidP="0053538C">
      <w:pPr>
        <w:spacing w:before="100" w:beforeAutospacing="1" w:after="100" w:afterAutospacing="1" w:line="240" w:lineRule="auto"/>
        <w:rPr>
          <w:rFonts w:ascii="Times New Roman" w:eastAsia="Times New Roman" w:hAnsi="Times New Roman" w:cs="Times New Roman"/>
          <w:sz w:val="24"/>
          <w:szCs w:val="24"/>
        </w:rPr>
      </w:pPr>
      <w:r w:rsidRPr="0053538C">
        <w:rPr>
          <w:rFonts w:ascii="Times New Roman" w:eastAsia="Times New Roman" w:hAnsi="Times New Roman" w:cs="Times New Roman"/>
          <w:sz w:val="24"/>
          <w:szCs w:val="24"/>
        </w:rPr>
        <w:t>Through the National Board Scholarship Program (NBSP), you may be eligible for scholarships from the generous organizations listed below. Scholarships are awarded on a first-come, first-served basis. If you have questions about scholarships and/or designated school districts, please e-mail us directly. Please do not send inquiries to our supporting organizations.</w:t>
      </w:r>
    </w:p>
    <w:p w:rsidR="0053538C" w:rsidRDefault="0053538C" w:rsidP="0053538C">
      <w:pPr>
        <w:pStyle w:val="NormalWeb"/>
      </w:pPr>
      <w:r>
        <w:object w:dxaOrig="225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27.75pt" o:ole="">
            <v:imagedata r:id="rId6" o:title=""/>
          </v:shape>
          <w:control r:id="rId7" w:name="DefaultOcxName" w:shapeid="_x0000_i1027"/>
        </w:object>
      </w:r>
    </w:p>
    <w:p w:rsidR="0053538C" w:rsidRDefault="0053538C" w:rsidP="0053538C">
      <w:pPr>
        <w:pStyle w:val="Heading3"/>
        <w:rPr>
          <w:color w:val="FF0000"/>
        </w:rPr>
      </w:pPr>
      <w:r>
        <w:rPr>
          <w:color w:val="FF0000"/>
          <w:sz w:val="20"/>
          <w:szCs w:val="20"/>
        </w:rPr>
        <w:t xml:space="preserve">Special Offer: Open to science retake candidates for the 2011-12 school </w:t>
      </w:r>
      <w:proofErr w:type="gramStart"/>
      <w:r>
        <w:rPr>
          <w:color w:val="FF0000"/>
          <w:sz w:val="20"/>
          <w:szCs w:val="20"/>
        </w:rPr>
        <w:t>year</w:t>
      </w:r>
      <w:proofErr w:type="gramEnd"/>
      <w:r>
        <w:rPr>
          <w:color w:val="FF0000"/>
          <w:sz w:val="20"/>
          <w:szCs w:val="20"/>
        </w:rPr>
        <w:t xml:space="preserve">. </w:t>
      </w:r>
    </w:p>
    <w:p w:rsidR="0053538C" w:rsidRDefault="0053538C" w:rsidP="0053538C">
      <w:pPr>
        <w:pStyle w:val="NormalWeb"/>
      </w:pPr>
      <w:r>
        <w:t>Amgen provides scholarships for candidates pursuing National Board Certification and </w:t>
      </w:r>
      <w:r>
        <w:rPr>
          <w:i/>
          <w:iCs/>
        </w:rPr>
        <w:t>Take One!</w:t>
      </w:r>
      <w:r>
        <w:t> </w:t>
      </w:r>
      <w:proofErr w:type="gramStart"/>
      <w:r>
        <w:t>participants</w:t>
      </w:r>
      <w:proofErr w:type="gramEnd"/>
      <w:r>
        <w:t xml:space="preserve"> in each of its operating communities in: </w:t>
      </w:r>
    </w:p>
    <w:p w:rsidR="0053538C" w:rsidRDefault="0053538C" w:rsidP="0053538C">
      <w:pPr>
        <w:pStyle w:val="NormalWeb"/>
        <w:rPr>
          <w:sz w:val="20"/>
          <w:szCs w:val="20"/>
        </w:rPr>
      </w:pPr>
      <w:r>
        <w:rPr>
          <w:b/>
          <w:bCs/>
          <w:sz w:val="20"/>
          <w:szCs w:val="20"/>
        </w:rPr>
        <w:t>WASHINGTON: Seattle Regional Counties </w:t>
      </w:r>
      <w:r>
        <w:rPr>
          <w:sz w:val="20"/>
          <w:szCs w:val="20"/>
        </w:rPr>
        <w:t>(King and Snohomish)</w:t>
      </w:r>
    </w:p>
    <w:p w:rsidR="0053538C" w:rsidRDefault="0053538C" w:rsidP="0053538C">
      <w:pPr>
        <w:pStyle w:val="NormalWeb"/>
      </w:pPr>
      <w:r>
        <w:rPr>
          <w:rStyle w:val="Strong"/>
        </w:rPr>
        <w:t>Liberty Mutual</w:t>
      </w:r>
    </w:p>
    <w:p w:rsidR="0053538C" w:rsidRDefault="0053538C" w:rsidP="0053538C">
      <w:pPr>
        <w:pStyle w:val="NormalWeb"/>
      </w:pPr>
      <w:r>
        <w:rPr>
          <w:sz w:val="20"/>
          <w:szCs w:val="20"/>
        </w:rPr>
        <w:t xml:space="preserve">Liberty Mutual provides scholarships to first-time candidates nationwide who have previously completed </w:t>
      </w:r>
      <w:r>
        <w:rPr>
          <w:rStyle w:val="Emphasis"/>
          <w:sz w:val="20"/>
          <w:szCs w:val="20"/>
        </w:rPr>
        <w:t>Take One</w:t>
      </w:r>
      <w:proofErr w:type="gramStart"/>
      <w:r>
        <w:rPr>
          <w:rStyle w:val="Emphasis"/>
          <w:sz w:val="20"/>
          <w:szCs w:val="20"/>
        </w:rPr>
        <w:t>!</w:t>
      </w:r>
      <w:r>
        <w:rPr>
          <w:sz w:val="20"/>
          <w:szCs w:val="20"/>
        </w:rPr>
        <w:t>.</w:t>
      </w:r>
      <w:proofErr w:type="gramEnd"/>
    </w:p>
    <w:p w:rsidR="0053538C" w:rsidRDefault="0053538C" w:rsidP="0053538C">
      <w:pPr>
        <w:pStyle w:val="NormalWeb"/>
      </w:pPr>
      <w:r>
        <w:t>  </w:t>
      </w:r>
      <w:r>
        <w:object w:dxaOrig="2250" w:dyaOrig="555">
          <v:shape id="_x0000_i1030" type="#_x0000_t75" style="width:75pt;height:44.25pt" o:ole="">
            <v:imagedata r:id="rId8" o:title=""/>
          </v:shape>
          <w:control r:id="rId9" w:name="DefaultOcxName1" w:shapeid="_x0000_i1030"/>
        </w:object>
      </w:r>
      <w:r>
        <w:rPr>
          <w:rStyle w:val="Strong"/>
        </w:rPr>
        <w:t>GlaxoSmithKline Endowed Scholarship Fund</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t>Through a generous $1 million endowment, GlaxoSmithKline provides scholarships to science teachers nationwide. Eligible teachers must be first-time candidates pursuing certification in the Early Adolescence/Science or Adolescence and Young Adulthood/Science. </w:t>
      </w:r>
      <w:r>
        <w:rPr>
          <w:rFonts w:ascii="Tahoma" w:hAnsi="Tahoma" w:cs="Tahoma"/>
          <w:color w:val="666666"/>
          <w:sz w:val="20"/>
          <w:szCs w:val="20"/>
        </w:rPr>
        <w:t> </w:t>
      </w:r>
    </w:p>
    <w:p w:rsidR="0053538C" w:rsidRDefault="0053538C" w:rsidP="0053538C">
      <w:pPr>
        <w:spacing w:after="0" w:line="240" w:lineRule="atLeast"/>
        <w:rPr>
          <w:rFonts w:ascii="Tahoma" w:eastAsia="Times New Roman" w:hAnsi="Tahoma" w:cs="Tahoma"/>
          <w:b/>
          <w:bCs/>
          <w:color w:val="666666"/>
          <w:sz w:val="18"/>
        </w:rPr>
      </w:pPr>
    </w:p>
    <w:p w:rsidR="0053538C" w:rsidRPr="0053538C" w:rsidRDefault="0053538C" w:rsidP="0053538C">
      <w:pPr>
        <w:spacing w:after="0" w:line="240" w:lineRule="atLeast"/>
        <w:rPr>
          <w:rFonts w:ascii="Tahoma" w:eastAsia="Times New Roman" w:hAnsi="Tahoma" w:cs="Tahoma"/>
          <w:color w:val="666666"/>
          <w:sz w:val="18"/>
          <w:szCs w:val="18"/>
        </w:rPr>
      </w:pPr>
      <w:r w:rsidRPr="0053538C">
        <w:rPr>
          <w:rFonts w:ascii="Tahoma" w:eastAsia="Times New Roman" w:hAnsi="Tahoma" w:cs="Tahoma"/>
          <w:b/>
          <w:bCs/>
          <w:color w:val="666666"/>
          <w:sz w:val="18"/>
        </w:rPr>
        <w:t>National Board Scholarship Fund</w:t>
      </w:r>
      <w:r w:rsidRPr="0053538C">
        <w:rPr>
          <w:rFonts w:ascii="Tahoma" w:eastAsia="Times New Roman" w:hAnsi="Tahoma" w:cs="Tahoma"/>
          <w:color w:val="666666"/>
          <w:sz w:val="18"/>
          <w:szCs w:val="18"/>
        </w:rPr>
        <w:br/>
        <w:t>The National Board Scholarship Fund provides scholarships to first-time candidates seeking certification. Funding is made possible from donations by:</w:t>
      </w:r>
    </w:p>
    <w:p w:rsidR="0053538C" w:rsidRPr="0053538C" w:rsidRDefault="0053538C" w:rsidP="0053538C">
      <w:pPr>
        <w:numPr>
          <w:ilvl w:val="0"/>
          <w:numId w:val="1"/>
        </w:numPr>
        <w:spacing w:after="0" w:line="240" w:lineRule="atLeast"/>
        <w:ind w:left="375"/>
        <w:rPr>
          <w:rFonts w:ascii="Tahoma" w:eastAsia="Times New Roman" w:hAnsi="Tahoma" w:cs="Tahoma"/>
          <w:color w:val="666666"/>
          <w:sz w:val="18"/>
          <w:szCs w:val="18"/>
        </w:rPr>
      </w:pPr>
      <w:r w:rsidRPr="0053538C">
        <w:rPr>
          <w:rFonts w:ascii="Tahoma" w:eastAsia="Times New Roman" w:hAnsi="Tahoma" w:cs="Tahoma"/>
          <w:color w:val="666666"/>
          <w:sz w:val="18"/>
          <w:szCs w:val="18"/>
        </w:rPr>
        <w:t>National Board Certified Teachers</w:t>
      </w:r>
    </w:p>
    <w:p w:rsidR="0053538C" w:rsidRPr="0053538C" w:rsidRDefault="0053538C" w:rsidP="0053538C">
      <w:pPr>
        <w:numPr>
          <w:ilvl w:val="0"/>
          <w:numId w:val="1"/>
        </w:numPr>
        <w:spacing w:after="0" w:line="240" w:lineRule="atLeast"/>
        <w:ind w:left="375"/>
        <w:rPr>
          <w:rFonts w:ascii="Tahoma" w:eastAsia="Times New Roman" w:hAnsi="Tahoma" w:cs="Tahoma"/>
          <w:color w:val="666666"/>
          <w:sz w:val="18"/>
          <w:szCs w:val="18"/>
        </w:rPr>
      </w:pPr>
      <w:r w:rsidRPr="0053538C">
        <w:rPr>
          <w:rFonts w:ascii="Tahoma" w:eastAsia="Times New Roman" w:hAnsi="Tahoma" w:cs="Tahoma"/>
          <w:color w:val="666666"/>
          <w:sz w:val="18"/>
          <w:szCs w:val="18"/>
        </w:rPr>
        <w:t>NBPTS Staff</w:t>
      </w:r>
    </w:p>
    <w:p w:rsidR="0053538C" w:rsidRPr="0053538C" w:rsidRDefault="0053538C" w:rsidP="0053538C">
      <w:pPr>
        <w:numPr>
          <w:ilvl w:val="0"/>
          <w:numId w:val="1"/>
        </w:numPr>
        <w:spacing w:after="0" w:line="240" w:lineRule="atLeast"/>
        <w:ind w:left="375"/>
        <w:rPr>
          <w:rFonts w:ascii="Tahoma" w:eastAsia="Times New Roman" w:hAnsi="Tahoma" w:cs="Tahoma"/>
          <w:color w:val="666666"/>
          <w:sz w:val="18"/>
          <w:szCs w:val="18"/>
        </w:rPr>
      </w:pPr>
      <w:r w:rsidRPr="0053538C">
        <w:rPr>
          <w:rFonts w:ascii="Tahoma" w:eastAsia="Times New Roman" w:hAnsi="Tahoma" w:cs="Tahoma"/>
          <w:color w:val="666666"/>
          <w:sz w:val="18"/>
          <w:szCs w:val="18"/>
        </w:rPr>
        <w:lastRenderedPageBreak/>
        <w:t>NBPTS Board Members</w:t>
      </w:r>
    </w:p>
    <w:p w:rsidR="0053538C" w:rsidRPr="0053538C" w:rsidRDefault="0053538C" w:rsidP="0053538C">
      <w:pPr>
        <w:numPr>
          <w:ilvl w:val="0"/>
          <w:numId w:val="1"/>
        </w:numPr>
        <w:spacing w:after="0" w:line="240" w:lineRule="atLeast"/>
        <w:ind w:left="375"/>
        <w:rPr>
          <w:rFonts w:ascii="Tahoma" w:eastAsia="Times New Roman" w:hAnsi="Tahoma" w:cs="Tahoma"/>
          <w:color w:val="666666"/>
          <w:sz w:val="18"/>
          <w:szCs w:val="18"/>
        </w:rPr>
      </w:pPr>
      <w:r w:rsidRPr="0053538C">
        <w:rPr>
          <w:rFonts w:ascii="Tahoma" w:eastAsia="Times New Roman" w:hAnsi="Tahoma" w:cs="Tahoma"/>
          <w:color w:val="666666"/>
          <w:sz w:val="18"/>
          <w:szCs w:val="18"/>
        </w:rPr>
        <w:t>Pi Lambda Theta</w:t>
      </w:r>
    </w:p>
    <w:p w:rsidR="0053538C" w:rsidRPr="0053538C" w:rsidRDefault="0053538C" w:rsidP="0053538C">
      <w:pPr>
        <w:spacing w:after="0" w:line="240" w:lineRule="atLeast"/>
        <w:rPr>
          <w:rFonts w:ascii="Tahoma" w:eastAsia="Times New Roman" w:hAnsi="Tahoma" w:cs="Tahoma"/>
          <w:color w:val="666666"/>
          <w:sz w:val="18"/>
          <w:szCs w:val="18"/>
        </w:rPr>
      </w:pPr>
      <w:r w:rsidRPr="0053538C">
        <w:rPr>
          <w:rFonts w:ascii="Tahoma" w:eastAsia="Times New Roman" w:hAnsi="Tahoma" w:cs="Tahoma"/>
          <w:color w:val="666666"/>
          <w:sz w:val="18"/>
          <w:szCs w:val="18"/>
        </w:rPr>
        <w:t>NBCTs are eligible to become members of Pi Lambda Theta, a national professional honor society for educators. </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object w:dxaOrig="2250" w:dyaOrig="555">
          <v:shape id="_x0000_i1033" type="#_x0000_t75" style="width:112.5pt;height:21pt" o:ole="">
            <v:imagedata r:id="rId10" o:title=""/>
          </v:shape>
          <w:control r:id="rId11" w:name="DefaultOcxName2" w:shapeid="_x0000_i1033"/>
        </w:object>
      </w:r>
      <w:r>
        <w:rPr>
          <w:rStyle w:val="Strong"/>
          <w:rFonts w:ascii="Tahoma" w:hAnsi="Tahoma" w:cs="Tahoma"/>
          <w:color w:val="666666"/>
          <w:sz w:val="18"/>
          <w:szCs w:val="18"/>
        </w:rPr>
        <w:t>Chase</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t xml:space="preserve">Through a bank program that donated a portion of debit-card purchases to benefit schools, Chase provides scholarships to first-time and </w:t>
      </w:r>
      <w:proofErr w:type="gramStart"/>
      <w:r>
        <w:rPr>
          <w:rFonts w:ascii="Tahoma" w:hAnsi="Tahoma" w:cs="Tahoma"/>
          <w:color w:val="666666"/>
          <w:sz w:val="18"/>
          <w:szCs w:val="18"/>
        </w:rPr>
        <w:t>re-take</w:t>
      </w:r>
      <w:proofErr w:type="gramEnd"/>
      <w:r>
        <w:rPr>
          <w:rFonts w:ascii="Tahoma" w:hAnsi="Tahoma" w:cs="Tahoma"/>
          <w:color w:val="666666"/>
          <w:sz w:val="18"/>
          <w:szCs w:val="18"/>
        </w:rPr>
        <w:t xml:space="preserve"> candidates. Funds are available on a first-come, first-served basis to teachers nationwide in low-performing schools.</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Style w:val="Strong"/>
          <w:rFonts w:ascii="Tahoma" w:hAnsi="Tahoma" w:cs="Tahoma"/>
          <w:color w:val="666666"/>
          <w:sz w:val="18"/>
          <w:szCs w:val="18"/>
        </w:rPr>
        <w:t>Tier I Scholarships (select states in which a cohort is required)</w:t>
      </w:r>
      <w:r>
        <w:rPr>
          <w:rFonts w:ascii="Tahoma" w:hAnsi="Tahoma" w:cs="Tahoma"/>
          <w:color w:val="666666"/>
          <w:sz w:val="18"/>
          <w:szCs w:val="18"/>
        </w:rPr>
        <w:br/>
        <w:t>To qualify, teachers must: 1) have completed the scholarship application 2) have identified at least three teachers from their school district who will form a cohort to complete the requirements of National Board Certification.</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Style w:val="Strong"/>
          <w:rFonts w:ascii="Tahoma" w:hAnsi="Tahoma" w:cs="Tahoma"/>
          <w:color w:val="666666"/>
          <w:sz w:val="18"/>
          <w:szCs w:val="18"/>
        </w:rPr>
        <w:t>First-Time and Re-take Scholarships are available in:</w:t>
      </w:r>
      <w:r>
        <w:rPr>
          <w:rFonts w:ascii="Tahoma" w:hAnsi="Tahoma" w:cs="Tahoma"/>
          <w:color w:val="666666"/>
          <w:sz w:val="18"/>
          <w:szCs w:val="18"/>
        </w:rPr>
        <w:t xml:space="preserve"> Denver, CO; Jacksonville, Miami-Dade, Orlando, Tampa, FL; Boise, and Moscow, ID; Portland and Salem, OR; Austin, Dallas, Houston, San Antonio, TX; Salt Lake City, UT; Seattle and Tacoma, WA.</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br/>
      </w:r>
      <w:r>
        <w:rPr>
          <w:rFonts w:ascii="Tahoma" w:hAnsi="Tahoma" w:cs="Tahoma"/>
          <w:color w:val="666666"/>
          <w:sz w:val="18"/>
          <w:szCs w:val="18"/>
        </w:rPr>
        <w:object w:dxaOrig="2250" w:dyaOrig="555">
          <v:shape id="_x0000_i1036" type="#_x0000_t75" style="width:75pt;height:29.25pt" o:ole="">
            <v:imagedata r:id="rId12" o:title=""/>
          </v:shape>
          <w:control r:id="rId13" w:name="DefaultOcxName3" w:shapeid="_x0000_i1036"/>
        </w:object>
      </w:r>
      <w:r>
        <w:rPr>
          <w:rStyle w:val="Strong"/>
          <w:rFonts w:ascii="Tahoma" w:hAnsi="Tahoma" w:cs="Tahoma"/>
          <w:color w:val="666666"/>
          <w:sz w:val="18"/>
          <w:szCs w:val="18"/>
        </w:rPr>
        <w:t>Weyerhaeuser Company Foundation</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t>The Weyerhaeuser Company Foundation provides scholarships to mathematics and science teachers in its operating locations in Alabama, Arkansas, Louisiana, Mississippi, North Carolina, Oklahoma and Washington. First priority is given to these operating locations until June 1 of each year when science and math teachers in other areas across the Weyerhaeuser Company Foundation states, as well as teachers in the early childhood and middle childhood generalist fields, become eligible to receive for scholarships if funding remains for any given cycle.</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t>Teachers can apply immediately if they are seeking certification in </w:t>
      </w:r>
      <w:r>
        <w:rPr>
          <w:rStyle w:val="Strong"/>
          <w:rFonts w:ascii="Tahoma" w:hAnsi="Tahoma" w:cs="Tahoma"/>
          <w:color w:val="666666"/>
          <w:sz w:val="18"/>
          <w:szCs w:val="18"/>
        </w:rPr>
        <w:t>Early Adolescence/Science, Adolescence and Young Adulthood/Science, Early Adolescence/Mathematics</w:t>
      </w:r>
      <w:r>
        <w:rPr>
          <w:rFonts w:ascii="Tahoma" w:hAnsi="Tahoma" w:cs="Tahoma"/>
          <w:color w:val="666666"/>
          <w:sz w:val="18"/>
          <w:szCs w:val="18"/>
        </w:rPr>
        <w:t xml:space="preserve">, </w:t>
      </w:r>
      <w:proofErr w:type="spellStart"/>
      <w:r>
        <w:rPr>
          <w:rFonts w:ascii="Tahoma" w:hAnsi="Tahoma" w:cs="Tahoma"/>
          <w:color w:val="666666"/>
          <w:sz w:val="18"/>
          <w:szCs w:val="18"/>
        </w:rPr>
        <w:t>and</w:t>
      </w:r>
      <w:r>
        <w:rPr>
          <w:rStyle w:val="Strong"/>
          <w:rFonts w:ascii="Tahoma" w:hAnsi="Tahoma" w:cs="Tahoma"/>
          <w:color w:val="666666"/>
          <w:sz w:val="18"/>
          <w:szCs w:val="18"/>
        </w:rPr>
        <w:t>Adolescence</w:t>
      </w:r>
      <w:proofErr w:type="spellEnd"/>
      <w:r>
        <w:rPr>
          <w:rStyle w:val="Strong"/>
          <w:rFonts w:ascii="Tahoma" w:hAnsi="Tahoma" w:cs="Tahoma"/>
          <w:color w:val="666666"/>
          <w:sz w:val="18"/>
          <w:szCs w:val="18"/>
        </w:rPr>
        <w:t xml:space="preserve"> and</w:t>
      </w:r>
      <w:r>
        <w:rPr>
          <w:rFonts w:ascii="Tahoma" w:hAnsi="Tahoma" w:cs="Tahoma"/>
          <w:color w:val="666666"/>
          <w:sz w:val="18"/>
          <w:szCs w:val="18"/>
        </w:rPr>
        <w:t> </w:t>
      </w:r>
      <w:r>
        <w:rPr>
          <w:rStyle w:val="Strong"/>
          <w:rFonts w:ascii="Tahoma" w:hAnsi="Tahoma" w:cs="Tahoma"/>
          <w:color w:val="666666"/>
          <w:sz w:val="18"/>
          <w:szCs w:val="18"/>
        </w:rPr>
        <w:t>Young Adulthood/Mathematics</w:t>
      </w:r>
      <w:r>
        <w:rPr>
          <w:rFonts w:ascii="Tahoma" w:hAnsi="Tahoma" w:cs="Tahoma"/>
          <w:color w:val="666666"/>
          <w:sz w:val="18"/>
          <w:szCs w:val="18"/>
        </w:rPr>
        <w:t>.</w:t>
      </w:r>
    </w:p>
    <w:p w:rsidR="0053538C" w:rsidRPr="0053538C" w:rsidRDefault="0053538C" w:rsidP="0053538C">
      <w:pPr>
        <w:spacing w:after="0" w:line="240" w:lineRule="atLeast"/>
        <w:rPr>
          <w:rFonts w:ascii="Tahoma" w:eastAsia="Times New Roman" w:hAnsi="Tahoma" w:cs="Tahoma"/>
          <w:color w:val="666666"/>
          <w:sz w:val="18"/>
          <w:szCs w:val="18"/>
        </w:rPr>
      </w:pPr>
      <w:r w:rsidRPr="0053538C">
        <w:rPr>
          <w:rFonts w:ascii="Tahoma" w:eastAsia="Times New Roman" w:hAnsi="Tahoma" w:cs="Tahoma"/>
          <w:b/>
          <w:bCs/>
          <w:color w:val="666666"/>
          <w:sz w:val="18"/>
        </w:rPr>
        <w:t xml:space="preserve">Re-take, Take One! </w:t>
      </w:r>
      <w:proofErr w:type="gramStart"/>
      <w:r w:rsidRPr="0053538C">
        <w:rPr>
          <w:rFonts w:ascii="Tahoma" w:eastAsia="Times New Roman" w:hAnsi="Tahoma" w:cs="Tahoma"/>
          <w:b/>
          <w:bCs/>
          <w:color w:val="666666"/>
          <w:sz w:val="18"/>
        </w:rPr>
        <w:t>and</w:t>
      </w:r>
      <w:proofErr w:type="gramEnd"/>
      <w:r w:rsidRPr="0053538C">
        <w:rPr>
          <w:rFonts w:ascii="Tahoma" w:eastAsia="Times New Roman" w:hAnsi="Tahoma" w:cs="Tahoma"/>
          <w:b/>
          <w:bCs/>
          <w:color w:val="666666"/>
          <w:sz w:val="18"/>
        </w:rPr>
        <w:t xml:space="preserve"> First-time candidates teaching in:</w:t>
      </w:r>
    </w:p>
    <w:p w:rsidR="0053538C" w:rsidRDefault="0053538C" w:rsidP="005353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38C">
        <w:rPr>
          <w:rFonts w:ascii="Times New Roman" w:eastAsia="Times New Roman" w:hAnsi="Times New Roman" w:cs="Times New Roman"/>
          <w:sz w:val="24"/>
          <w:szCs w:val="24"/>
        </w:rPr>
        <w:t xml:space="preserve">Aberdeen, Chehalis, Centralia, </w:t>
      </w:r>
      <w:proofErr w:type="spellStart"/>
      <w:r w:rsidRPr="0053538C">
        <w:rPr>
          <w:rFonts w:ascii="Times New Roman" w:eastAsia="Times New Roman" w:hAnsi="Times New Roman" w:cs="Times New Roman"/>
          <w:sz w:val="24"/>
          <w:szCs w:val="24"/>
        </w:rPr>
        <w:t>Cosmopolis</w:t>
      </w:r>
      <w:proofErr w:type="spellEnd"/>
      <w:r w:rsidRPr="0053538C">
        <w:rPr>
          <w:rFonts w:ascii="Times New Roman" w:eastAsia="Times New Roman" w:hAnsi="Times New Roman" w:cs="Times New Roman"/>
          <w:sz w:val="24"/>
          <w:szCs w:val="24"/>
        </w:rPr>
        <w:t>, Federal Way, Hoquiam, Longview, and Raymond districts in Washington</w:t>
      </w: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Style w:val="Strong"/>
          <w:rFonts w:ascii="Tahoma" w:hAnsi="Tahoma" w:cs="Tahoma"/>
          <w:color w:val="666666"/>
          <w:sz w:val="18"/>
          <w:szCs w:val="18"/>
        </w:rPr>
        <w:t>Governor Hunt Scholarship Fund</w:t>
      </w:r>
    </w:p>
    <w:p w:rsidR="0053538C" w:rsidRDefault="0053538C" w:rsidP="0053538C">
      <w:pPr>
        <w:pStyle w:val="NormalWeb"/>
        <w:numPr>
          <w:ilvl w:val="0"/>
          <w:numId w:val="2"/>
        </w:numPr>
        <w:spacing w:before="0" w:beforeAutospacing="0" w:after="0" w:afterAutospacing="0" w:line="240" w:lineRule="atLeast"/>
        <w:rPr>
          <w:rFonts w:ascii="Tahoma" w:hAnsi="Tahoma" w:cs="Tahoma"/>
          <w:color w:val="666666"/>
          <w:sz w:val="18"/>
          <w:szCs w:val="18"/>
        </w:rPr>
      </w:pPr>
      <w:r>
        <w:rPr>
          <w:rFonts w:ascii="Tahoma" w:hAnsi="Tahoma" w:cs="Tahoma"/>
          <w:color w:val="666666"/>
          <w:sz w:val="18"/>
          <w:szCs w:val="18"/>
        </w:rPr>
        <w:t>The Governor Hunt Endowed Scholarship Fund provides a scholarship to a science teacher each year. Governor Hunt, the founding chair of the National Board, is a strong advocate and a steadfast supporter of National Board Certification and effective policies supporting the teaching profession. Eligible teachers must be first-time candidates pursuing certification in Early Adolescence/Science or Adolescence and Young Adulthood/Science.</w:t>
      </w:r>
    </w:p>
    <w:p w:rsidR="0053538C" w:rsidRPr="0053538C" w:rsidRDefault="0053538C" w:rsidP="0053538C">
      <w:pPr>
        <w:pStyle w:val="NormalWeb"/>
        <w:spacing w:before="0" w:beforeAutospacing="0" w:after="0" w:afterAutospacing="0" w:line="240" w:lineRule="atLeast"/>
        <w:rPr>
          <w:rFonts w:ascii="Tahoma" w:hAnsi="Tahoma" w:cs="Tahoma"/>
          <w:color w:val="666666"/>
          <w:sz w:val="18"/>
          <w:szCs w:val="18"/>
        </w:rPr>
      </w:pPr>
    </w:p>
    <w:p w:rsidR="0053538C" w:rsidRDefault="0053538C" w:rsidP="0053538C">
      <w:pPr>
        <w:pStyle w:val="NormalWeb"/>
        <w:spacing w:before="0" w:beforeAutospacing="0" w:after="0" w:afterAutospacing="0" w:line="240" w:lineRule="atLeast"/>
        <w:rPr>
          <w:rFonts w:ascii="Tahoma" w:hAnsi="Tahoma" w:cs="Tahoma"/>
          <w:color w:val="666666"/>
          <w:sz w:val="18"/>
          <w:szCs w:val="18"/>
        </w:rPr>
      </w:pPr>
      <w:r>
        <w:rPr>
          <w:rStyle w:val="Strong"/>
          <w:rFonts w:ascii="Tahoma" w:hAnsi="Tahoma" w:cs="Tahoma"/>
          <w:color w:val="666666"/>
          <w:sz w:val="18"/>
          <w:szCs w:val="18"/>
        </w:rPr>
        <w:t>Coca-Cola</w:t>
      </w:r>
      <w:r>
        <w:rPr>
          <w:rFonts w:ascii="Tahoma" w:hAnsi="Tahoma" w:cs="Tahoma"/>
          <w:color w:val="666666"/>
          <w:sz w:val="18"/>
          <w:szCs w:val="18"/>
        </w:rPr>
        <w:br/>
        <w:t>Coca-Cola provides scholarships to teachers nationwide. Funds are available for first-time candidates. Interested scholarship applicants need to log into My Profile to apply for scholarships.</w:t>
      </w:r>
    </w:p>
    <w:p w:rsidR="00A92FCB" w:rsidRDefault="00A92FCB" w:rsidP="0053538C">
      <w:pPr>
        <w:pStyle w:val="NormalWeb"/>
        <w:spacing w:before="0" w:beforeAutospacing="0" w:after="0" w:afterAutospacing="0" w:line="240" w:lineRule="atLeast"/>
        <w:rPr>
          <w:rFonts w:ascii="Tahoma" w:hAnsi="Tahoma" w:cs="Tahoma"/>
          <w:color w:val="666666"/>
          <w:sz w:val="18"/>
          <w:szCs w:val="18"/>
        </w:rPr>
      </w:pPr>
    </w:p>
    <w:sectPr w:rsidR="00A92FCB" w:rsidSect="00BD7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885"/>
    <w:multiLevelType w:val="multilevel"/>
    <w:tmpl w:val="D2D6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E7075"/>
    <w:multiLevelType w:val="multilevel"/>
    <w:tmpl w:val="24D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538C"/>
    <w:rsid w:val="0053538C"/>
    <w:rsid w:val="00A92FCB"/>
    <w:rsid w:val="00BD7882"/>
    <w:rsid w:val="00FB5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82"/>
  </w:style>
  <w:style w:type="paragraph" w:styleId="Heading1">
    <w:name w:val="heading 1"/>
    <w:basedOn w:val="Normal"/>
    <w:link w:val="Heading1Char"/>
    <w:uiPriority w:val="9"/>
    <w:qFormat/>
    <w:rsid w:val="00535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3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353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3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3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5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3538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3538C"/>
    <w:rPr>
      <w:b/>
      <w:bCs/>
    </w:rPr>
  </w:style>
  <w:style w:type="character" w:styleId="Emphasis">
    <w:name w:val="Emphasis"/>
    <w:basedOn w:val="DefaultParagraphFont"/>
    <w:uiPriority w:val="20"/>
    <w:qFormat/>
    <w:rsid w:val="0053538C"/>
    <w:rPr>
      <w:i/>
      <w:iCs/>
    </w:rPr>
  </w:style>
  <w:style w:type="character" w:styleId="Hyperlink">
    <w:name w:val="Hyperlink"/>
    <w:basedOn w:val="DefaultParagraphFont"/>
    <w:uiPriority w:val="99"/>
    <w:unhideWhenUsed/>
    <w:rsid w:val="00FB5B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43765">
      <w:bodyDiv w:val="1"/>
      <w:marLeft w:val="0"/>
      <w:marRight w:val="0"/>
      <w:marTop w:val="0"/>
      <w:marBottom w:val="0"/>
      <w:divBdr>
        <w:top w:val="none" w:sz="0" w:space="0" w:color="auto"/>
        <w:left w:val="none" w:sz="0" w:space="0" w:color="auto"/>
        <w:bottom w:val="none" w:sz="0" w:space="0" w:color="auto"/>
        <w:right w:val="none" w:sz="0" w:space="0" w:color="auto"/>
      </w:divBdr>
    </w:div>
    <w:div w:id="202911102">
      <w:bodyDiv w:val="1"/>
      <w:marLeft w:val="0"/>
      <w:marRight w:val="0"/>
      <w:marTop w:val="0"/>
      <w:marBottom w:val="0"/>
      <w:divBdr>
        <w:top w:val="none" w:sz="0" w:space="0" w:color="auto"/>
        <w:left w:val="none" w:sz="0" w:space="0" w:color="auto"/>
        <w:bottom w:val="none" w:sz="0" w:space="0" w:color="auto"/>
        <w:right w:val="none" w:sz="0" w:space="0" w:color="auto"/>
      </w:divBdr>
    </w:div>
    <w:div w:id="246351909">
      <w:bodyDiv w:val="1"/>
      <w:marLeft w:val="0"/>
      <w:marRight w:val="0"/>
      <w:marTop w:val="0"/>
      <w:marBottom w:val="0"/>
      <w:divBdr>
        <w:top w:val="none" w:sz="0" w:space="0" w:color="auto"/>
        <w:left w:val="none" w:sz="0" w:space="0" w:color="auto"/>
        <w:bottom w:val="none" w:sz="0" w:space="0" w:color="auto"/>
        <w:right w:val="none" w:sz="0" w:space="0" w:color="auto"/>
      </w:divBdr>
    </w:div>
    <w:div w:id="252277071">
      <w:bodyDiv w:val="1"/>
      <w:marLeft w:val="0"/>
      <w:marRight w:val="0"/>
      <w:marTop w:val="0"/>
      <w:marBottom w:val="0"/>
      <w:divBdr>
        <w:top w:val="none" w:sz="0" w:space="0" w:color="auto"/>
        <w:left w:val="none" w:sz="0" w:space="0" w:color="auto"/>
        <w:bottom w:val="none" w:sz="0" w:space="0" w:color="auto"/>
        <w:right w:val="none" w:sz="0" w:space="0" w:color="auto"/>
      </w:divBdr>
    </w:div>
    <w:div w:id="459416999">
      <w:bodyDiv w:val="1"/>
      <w:marLeft w:val="0"/>
      <w:marRight w:val="0"/>
      <w:marTop w:val="0"/>
      <w:marBottom w:val="0"/>
      <w:divBdr>
        <w:top w:val="none" w:sz="0" w:space="0" w:color="auto"/>
        <w:left w:val="none" w:sz="0" w:space="0" w:color="auto"/>
        <w:bottom w:val="none" w:sz="0" w:space="0" w:color="auto"/>
        <w:right w:val="none" w:sz="0" w:space="0" w:color="auto"/>
      </w:divBdr>
    </w:div>
    <w:div w:id="549540233">
      <w:bodyDiv w:val="1"/>
      <w:marLeft w:val="0"/>
      <w:marRight w:val="0"/>
      <w:marTop w:val="0"/>
      <w:marBottom w:val="0"/>
      <w:divBdr>
        <w:top w:val="none" w:sz="0" w:space="0" w:color="auto"/>
        <w:left w:val="none" w:sz="0" w:space="0" w:color="auto"/>
        <w:bottom w:val="none" w:sz="0" w:space="0" w:color="auto"/>
        <w:right w:val="none" w:sz="0" w:space="0" w:color="auto"/>
      </w:divBdr>
    </w:div>
    <w:div w:id="1330207288">
      <w:bodyDiv w:val="1"/>
      <w:marLeft w:val="0"/>
      <w:marRight w:val="0"/>
      <w:marTop w:val="0"/>
      <w:marBottom w:val="0"/>
      <w:divBdr>
        <w:top w:val="none" w:sz="0" w:space="0" w:color="auto"/>
        <w:left w:val="none" w:sz="0" w:space="0" w:color="auto"/>
        <w:bottom w:val="none" w:sz="0" w:space="0" w:color="auto"/>
        <w:right w:val="none" w:sz="0" w:space="0" w:color="auto"/>
      </w:divBdr>
    </w:div>
    <w:div w:id="1489323779">
      <w:bodyDiv w:val="1"/>
      <w:marLeft w:val="0"/>
      <w:marRight w:val="0"/>
      <w:marTop w:val="0"/>
      <w:marBottom w:val="0"/>
      <w:divBdr>
        <w:top w:val="none" w:sz="0" w:space="0" w:color="auto"/>
        <w:left w:val="none" w:sz="0" w:space="0" w:color="auto"/>
        <w:bottom w:val="none" w:sz="0" w:space="0" w:color="auto"/>
        <w:right w:val="none" w:sz="0" w:space="0" w:color="auto"/>
      </w:divBdr>
    </w:div>
    <w:div w:id="1780105491">
      <w:bodyDiv w:val="1"/>
      <w:marLeft w:val="0"/>
      <w:marRight w:val="0"/>
      <w:marTop w:val="0"/>
      <w:marBottom w:val="0"/>
      <w:divBdr>
        <w:top w:val="none" w:sz="0" w:space="0" w:color="auto"/>
        <w:left w:val="none" w:sz="0" w:space="0" w:color="auto"/>
        <w:bottom w:val="none" w:sz="0" w:space="0" w:color="auto"/>
        <w:right w:val="none" w:sz="0" w:space="0" w:color="auto"/>
      </w:divBdr>
    </w:div>
    <w:div w:id="2110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k12.wa.us./cert/nbpts"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cp:lastPrinted>2012-02-17T19:38:00Z</cp:lastPrinted>
  <dcterms:created xsi:type="dcterms:W3CDTF">2012-02-17T19:12:00Z</dcterms:created>
  <dcterms:modified xsi:type="dcterms:W3CDTF">2012-02-17T19:38:00Z</dcterms:modified>
</cp:coreProperties>
</file>