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F8F1" w14:textId="7502C05F" w:rsidR="00FE5D44" w:rsidRDefault="00FE5D44" w:rsidP="00C4207E">
      <w:pPr>
        <w:tabs>
          <w:tab w:val="left" w:pos="1980"/>
        </w:tabs>
        <w:spacing w:line="276" w:lineRule="auto"/>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w:t>
      </w:r>
      <w:r w:rsidR="002835F5">
        <w:rPr>
          <w:rFonts w:asciiTheme="minorHAnsi" w:hAnsiTheme="minorHAnsi" w:cstheme="minorHAnsi"/>
          <w:b/>
          <w:sz w:val="36"/>
          <w:szCs w:val="36"/>
          <w:lang w:eastAsia="en-US"/>
        </w:rPr>
        <w:t xml:space="preserve">Curriculum </w:t>
      </w:r>
      <w:r w:rsidRPr="001F0649">
        <w:rPr>
          <w:rFonts w:asciiTheme="minorHAnsi" w:hAnsiTheme="minorHAnsi" w:cstheme="minorHAnsi"/>
          <w:b/>
          <w:sz w:val="36"/>
          <w:szCs w:val="36"/>
          <w:lang w:eastAsia="en-US"/>
        </w:rPr>
        <w:t xml:space="preserve">Meeting </w:t>
      </w:r>
      <w:r w:rsidR="00E91EDD">
        <w:rPr>
          <w:rFonts w:asciiTheme="minorHAnsi" w:hAnsiTheme="minorHAnsi" w:cstheme="minorHAnsi"/>
          <w:b/>
          <w:sz w:val="36"/>
          <w:szCs w:val="36"/>
          <w:lang w:eastAsia="en-US"/>
        </w:rPr>
        <w:t>05</w:t>
      </w:r>
      <w:r w:rsidR="00884B3C">
        <w:rPr>
          <w:rFonts w:asciiTheme="minorHAnsi" w:hAnsiTheme="minorHAnsi" w:cstheme="minorHAnsi"/>
          <w:b/>
          <w:sz w:val="36"/>
          <w:szCs w:val="36"/>
          <w:lang w:eastAsia="en-US"/>
        </w:rPr>
        <w:t>.21</w:t>
      </w:r>
      <w:r w:rsidR="00E336AD">
        <w:rPr>
          <w:rFonts w:asciiTheme="minorHAnsi" w:hAnsiTheme="minorHAnsi" w:cstheme="minorHAnsi"/>
          <w:b/>
          <w:sz w:val="36"/>
          <w:szCs w:val="36"/>
          <w:lang w:eastAsia="en-US"/>
        </w:rPr>
        <w:t>.20</w:t>
      </w:r>
    </w:p>
    <w:p w14:paraId="00A23C9E" w14:textId="0EB0239C" w:rsidR="00396FDE" w:rsidRPr="00C4207E" w:rsidRDefault="00396FDE" w:rsidP="00C4207E">
      <w:pPr>
        <w:tabs>
          <w:tab w:val="left" w:pos="1980"/>
        </w:tabs>
        <w:spacing w:line="276" w:lineRule="auto"/>
        <w:jc w:val="center"/>
        <w:rPr>
          <w:rFonts w:asciiTheme="minorHAnsi" w:hAnsiTheme="minorHAnsi" w:cstheme="minorHAnsi"/>
          <w:b/>
          <w:lang w:eastAsia="en-US"/>
        </w:rPr>
      </w:pPr>
      <w:r w:rsidRPr="00C4207E">
        <w:rPr>
          <w:rFonts w:asciiTheme="minorHAnsi" w:hAnsiTheme="minorHAnsi" w:cstheme="minorHAnsi"/>
          <w:b/>
          <w:lang w:eastAsia="en-US"/>
        </w:rPr>
        <w:t>Meeting held via Zoom</w:t>
      </w:r>
      <w:r w:rsidR="00C4207E" w:rsidRPr="00C4207E">
        <w:rPr>
          <w:rFonts w:asciiTheme="minorHAnsi" w:hAnsiTheme="minorHAnsi" w:cstheme="minorHAnsi"/>
          <w:b/>
          <w:lang w:eastAsia="en-US"/>
        </w:rPr>
        <w:br/>
      </w:r>
    </w:p>
    <w:p w14:paraId="2FC8E197" w14:textId="256108D8" w:rsidR="00491B83" w:rsidRPr="00A259D0" w:rsidRDefault="002835F5" w:rsidP="00C4207E">
      <w:pPr>
        <w:tabs>
          <w:tab w:val="left" w:pos="1980"/>
        </w:tabs>
        <w:spacing w:line="276" w:lineRule="auto"/>
        <w:rPr>
          <w:rFonts w:cs="Arial"/>
          <w:sz w:val="24"/>
          <w:szCs w:val="24"/>
          <w:lang w:eastAsia="en-US"/>
        </w:rPr>
      </w:pPr>
      <w:r w:rsidRPr="00A259D0">
        <w:rPr>
          <w:rFonts w:cs="Arial"/>
          <w:sz w:val="24"/>
          <w:szCs w:val="24"/>
          <w:lang w:eastAsia="en-US"/>
        </w:rPr>
        <w:t xml:space="preserve">Present: Mike Craw, </w:t>
      </w:r>
      <w:r w:rsidR="001F0649" w:rsidRPr="00A259D0">
        <w:rPr>
          <w:rFonts w:cs="Arial"/>
          <w:sz w:val="24"/>
          <w:szCs w:val="24"/>
          <w:lang w:eastAsia="en-US"/>
        </w:rPr>
        <w:t>Eric</w:t>
      </w:r>
      <w:r w:rsidRPr="00A259D0">
        <w:rPr>
          <w:rFonts w:cs="Arial"/>
          <w:sz w:val="24"/>
          <w:szCs w:val="24"/>
          <w:lang w:eastAsia="en-US"/>
        </w:rPr>
        <w:t xml:space="preserve"> Trevan</w:t>
      </w:r>
      <w:r w:rsidR="001F0649" w:rsidRPr="00A259D0">
        <w:rPr>
          <w:rFonts w:cs="Arial"/>
          <w:sz w:val="24"/>
          <w:szCs w:val="24"/>
          <w:lang w:eastAsia="en-US"/>
        </w:rPr>
        <w:t>, Amy</w:t>
      </w:r>
      <w:r w:rsidRPr="00A259D0">
        <w:rPr>
          <w:rFonts w:cs="Arial"/>
          <w:sz w:val="24"/>
          <w:szCs w:val="24"/>
          <w:lang w:eastAsia="en-US"/>
        </w:rPr>
        <w:t xml:space="preserve"> Gould</w:t>
      </w:r>
      <w:r w:rsidR="001F0649" w:rsidRPr="00A259D0">
        <w:rPr>
          <w:rFonts w:cs="Arial"/>
          <w:sz w:val="24"/>
          <w:szCs w:val="24"/>
          <w:lang w:eastAsia="en-US"/>
        </w:rPr>
        <w:t>, Doreen</w:t>
      </w:r>
      <w:r w:rsidRPr="00A259D0">
        <w:rPr>
          <w:rFonts w:cs="Arial"/>
          <w:sz w:val="24"/>
          <w:szCs w:val="24"/>
          <w:lang w:eastAsia="en-US"/>
        </w:rPr>
        <w:t xml:space="preserve"> Swetkis</w:t>
      </w:r>
      <w:r w:rsidR="001F0649" w:rsidRPr="00A259D0">
        <w:rPr>
          <w:rFonts w:cs="Arial"/>
          <w:sz w:val="24"/>
          <w:szCs w:val="24"/>
          <w:lang w:eastAsia="en-US"/>
        </w:rPr>
        <w:t>, Cali</w:t>
      </w:r>
      <w:r w:rsidRPr="00A259D0">
        <w:rPr>
          <w:rFonts w:cs="Arial"/>
          <w:sz w:val="24"/>
          <w:szCs w:val="24"/>
          <w:lang w:eastAsia="en-US"/>
        </w:rPr>
        <w:t xml:space="preserve"> Ellis</w:t>
      </w:r>
      <w:r w:rsidR="001F0649" w:rsidRPr="00A259D0">
        <w:rPr>
          <w:rFonts w:cs="Arial"/>
          <w:sz w:val="24"/>
          <w:szCs w:val="24"/>
          <w:lang w:eastAsia="en-US"/>
        </w:rPr>
        <w:t>, Lucky</w:t>
      </w:r>
      <w:r w:rsidRPr="00A259D0">
        <w:rPr>
          <w:rFonts w:cs="Arial"/>
          <w:sz w:val="24"/>
          <w:szCs w:val="24"/>
          <w:lang w:eastAsia="en-US"/>
        </w:rPr>
        <w:t xml:space="preserve"> Anguelov, </w:t>
      </w:r>
      <w:r w:rsidR="00B54D7F" w:rsidRPr="00A259D0">
        <w:rPr>
          <w:rFonts w:cs="Arial"/>
          <w:sz w:val="24"/>
          <w:szCs w:val="24"/>
          <w:lang w:eastAsia="en-US"/>
        </w:rPr>
        <w:t xml:space="preserve">Meghan Doughty, Puanani Nihoa, </w:t>
      </w:r>
      <w:r w:rsidR="00E336AD" w:rsidRPr="00A259D0">
        <w:rPr>
          <w:rFonts w:cs="Arial"/>
          <w:sz w:val="24"/>
          <w:szCs w:val="24"/>
          <w:lang w:eastAsia="en-US"/>
        </w:rPr>
        <w:t xml:space="preserve">Marcia Zitzelman and </w:t>
      </w:r>
      <w:r w:rsidR="00DA3181" w:rsidRPr="00A259D0">
        <w:rPr>
          <w:rFonts w:cs="Arial"/>
          <w:sz w:val="24"/>
          <w:szCs w:val="24"/>
          <w:lang w:eastAsia="en-US"/>
        </w:rPr>
        <w:t>Dhara</w:t>
      </w:r>
      <w:r w:rsidRPr="00A259D0">
        <w:rPr>
          <w:rFonts w:cs="Arial"/>
          <w:sz w:val="24"/>
          <w:szCs w:val="24"/>
          <w:lang w:eastAsia="en-US"/>
        </w:rPr>
        <w:t xml:space="preserve"> Katz</w:t>
      </w:r>
      <w:r w:rsidR="00DA3181" w:rsidRPr="00A259D0">
        <w:rPr>
          <w:rFonts w:cs="Arial"/>
          <w:sz w:val="24"/>
          <w:szCs w:val="24"/>
          <w:lang w:eastAsia="en-US"/>
        </w:rPr>
        <w:t xml:space="preserve"> (note taker)</w:t>
      </w:r>
      <w:r w:rsidR="00E336AD" w:rsidRPr="00A259D0">
        <w:rPr>
          <w:rFonts w:cs="Arial"/>
          <w:sz w:val="24"/>
          <w:szCs w:val="24"/>
          <w:lang w:eastAsia="en-US"/>
        </w:rPr>
        <w:t>.</w:t>
      </w:r>
    </w:p>
    <w:p w14:paraId="169D0C3B" w14:textId="77777777" w:rsidR="00E336AD" w:rsidRDefault="00E336AD" w:rsidP="00C4207E">
      <w:pPr>
        <w:tabs>
          <w:tab w:val="left" w:pos="1980"/>
        </w:tabs>
        <w:spacing w:line="276" w:lineRule="auto"/>
      </w:pPr>
    </w:p>
    <w:p w14:paraId="488339F1" w14:textId="7F0C77EF" w:rsidR="00FE5D44" w:rsidRPr="0055046B" w:rsidRDefault="00E336AD" w:rsidP="00C4207E">
      <w:pPr>
        <w:spacing w:line="276" w:lineRule="auto"/>
        <w:rPr>
          <w:rFonts w:asciiTheme="minorHAnsi" w:hAnsiTheme="minorHAnsi" w:cstheme="minorHAnsi"/>
          <w:b/>
        </w:rPr>
      </w:pPr>
      <w:r w:rsidRPr="0055046B">
        <w:rPr>
          <w:rFonts w:asciiTheme="minorHAnsi" w:hAnsiTheme="minorHAnsi" w:cstheme="minorHAnsi"/>
          <w:b/>
        </w:rPr>
        <w:t>Meeting Goal</w:t>
      </w:r>
      <w:r w:rsidR="00FE5D44" w:rsidRPr="0055046B">
        <w:rPr>
          <w:rFonts w:asciiTheme="minorHAnsi" w:hAnsiTheme="minorHAnsi" w:cstheme="minorHAnsi"/>
          <w:b/>
        </w:rPr>
        <w:t xml:space="preserve">: </w:t>
      </w:r>
    </w:p>
    <w:p w14:paraId="1518ED78" w14:textId="43923D0F" w:rsidR="00B54D7F" w:rsidRPr="00CF7871" w:rsidRDefault="006D1D1D" w:rsidP="00C4207E">
      <w:pPr>
        <w:spacing w:line="276" w:lineRule="auto"/>
        <w:ind w:left="360"/>
        <w:rPr>
          <w:rFonts w:cs="Arial"/>
          <w:sz w:val="24"/>
          <w:szCs w:val="24"/>
        </w:rPr>
      </w:pPr>
      <w:r>
        <w:rPr>
          <w:rFonts w:cs="Arial"/>
          <w:bCs/>
          <w:sz w:val="24"/>
          <w:szCs w:val="24"/>
        </w:rPr>
        <w:t xml:space="preserve">To </w:t>
      </w:r>
      <w:r w:rsidR="00A90586">
        <w:rPr>
          <w:rFonts w:cs="Arial"/>
          <w:bCs/>
          <w:sz w:val="24"/>
          <w:szCs w:val="24"/>
        </w:rPr>
        <w:t>consider and implement any essential</w:t>
      </w:r>
      <w:r>
        <w:rPr>
          <w:rFonts w:cs="Arial"/>
          <w:bCs/>
          <w:sz w:val="24"/>
          <w:szCs w:val="24"/>
        </w:rPr>
        <w:t xml:space="preserve"> amendments </w:t>
      </w:r>
      <w:r w:rsidR="00A90586">
        <w:rPr>
          <w:rFonts w:cs="Arial"/>
          <w:bCs/>
          <w:sz w:val="24"/>
          <w:szCs w:val="24"/>
        </w:rPr>
        <w:t>needed</w:t>
      </w:r>
      <w:r>
        <w:rPr>
          <w:rFonts w:cs="Arial"/>
          <w:bCs/>
          <w:sz w:val="24"/>
          <w:szCs w:val="24"/>
        </w:rPr>
        <w:t xml:space="preserve"> to reach consensus</w:t>
      </w:r>
      <w:r w:rsidR="00884B3C">
        <w:rPr>
          <w:rFonts w:cs="Arial"/>
          <w:bCs/>
          <w:sz w:val="24"/>
          <w:szCs w:val="24"/>
        </w:rPr>
        <w:t xml:space="preserve"> on a 4x3 curriculum model </w:t>
      </w:r>
      <w:r w:rsidR="00DC5B82">
        <w:rPr>
          <w:rFonts w:cs="Arial"/>
          <w:bCs/>
          <w:sz w:val="24"/>
          <w:szCs w:val="24"/>
        </w:rPr>
        <w:t xml:space="preserve">to adopt Fall 2021 </w:t>
      </w:r>
      <w:r w:rsidR="00CF7AA0">
        <w:rPr>
          <w:rFonts w:cs="Arial"/>
          <w:bCs/>
          <w:sz w:val="24"/>
          <w:szCs w:val="24"/>
        </w:rPr>
        <w:t xml:space="preserve">after considering data gathered </w:t>
      </w:r>
      <w:r w:rsidR="00884B3C">
        <w:rPr>
          <w:rFonts w:cs="Arial"/>
          <w:bCs/>
          <w:sz w:val="24"/>
          <w:szCs w:val="24"/>
        </w:rPr>
        <w:t>from the subcommittee’s stakeholder analysis.</w:t>
      </w:r>
    </w:p>
    <w:p w14:paraId="785AC811" w14:textId="77777777" w:rsidR="00B54D7F" w:rsidRPr="000B5CE7" w:rsidRDefault="00B54D7F" w:rsidP="00C4207E">
      <w:pPr>
        <w:spacing w:line="276" w:lineRule="auto"/>
        <w:rPr>
          <w:rFonts w:asciiTheme="minorHAnsi" w:hAnsiTheme="minorHAnsi" w:cstheme="minorHAnsi"/>
          <w:sz w:val="22"/>
          <w:szCs w:val="22"/>
        </w:rPr>
      </w:pPr>
    </w:p>
    <w:p w14:paraId="6F09D13A" w14:textId="10F226AF" w:rsidR="00313F5C" w:rsidRPr="0055046B" w:rsidRDefault="00173819" w:rsidP="00535B05">
      <w:pPr>
        <w:spacing w:before="120" w:after="120" w:line="276" w:lineRule="auto"/>
        <w:rPr>
          <w:rFonts w:asciiTheme="minorHAnsi" w:hAnsiTheme="minorHAnsi" w:cstheme="minorHAnsi"/>
          <w:b/>
        </w:rPr>
      </w:pPr>
      <w:r w:rsidRPr="0055046B">
        <w:rPr>
          <w:rFonts w:asciiTheme="minorHAnsi" w:hAnsiTheme="minorHAnsi" w:cstheme="minorHAnsi"/>
          <w:b/>
        </w:rPr>
        <w:t>Su</w:t>
      </w:r>
      <w:r w:rsidR="0055046B">
        <w:rPr>
          <w:rFonts w:asciiTheme="minorHAnsi" w:hAnsiTheme="minorHAnsi" w:cstheme="minorHAnsi"/>
          <w:b/>
        </w:rPr>
        <w:t>mmary of Key Changes</w:t>
      </w:r>
      <w:r w:rsidR="00736696" w:rsidRPr="0055046B">
        <w:rPr>
          <w:rFonts w:asciiTheme="minorHAnsi" w:hAnsiTheme="minorHAnsi" w:cstheme="minorHAnsi"/>
          <w:b/>
        </w:rPr>
        <w:t>:</w:t>
      </w:r>
    </w:p>
    <w:p w14:paraId="5545E189" w14:textId="69AE6169"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Core Cohorts: Learning lenses woven throughout all cohorts’ core courses </w:t>
      </w:r>
    </w:p>
    <w:p w14:paraId="54DB9AAB" w14:textId="1A8489FD" w:rsidR="00173819" w:rsidRPr="0055046B" w:rsidRDefault="00173819" w:rsidP="00535B05">
      <w:pPr>
        <w:pStyle w:val="ListParagraph"/>
        <w:numPr>
          <w:ilvl w:val="1"/>
          <w:numId w:val="27"/>
        </w:numPr>
        <w:spacing w:before="120" w:after="120"/>
        <w:contextualSpacing w:val="0"/>
        <w:rPr>
          <w:sz w:val="24"/>
          <w:szCs w:val="24"/>
        </w:rPr>
      </w:pPr>
      <w:r w:rsidRPr="0055046B">
        <w:rPr>
          <w:sz w:val="24"/>
          <w:szCs w:val="24"/>
        </w:rPr>
        <w:t xml:space="preserve">Path to sovereignty </w:t>
      </w:r>
    </w:p>
    <w:p w14:paraId="561A0436" w14:textId="4BAC8306" w:rsidR="00173819" w:rsidRPr="0055046B" w:rsidRDefault="00173819" w:rsidP="00535B05">
      <w:pPr>
        <w:pStyle w:val="ListParagraph"/>
        <w:numPr>
          <w:ilvl w:val="1"/>
          <w:numId w:val="27"/>
        </w:numPr>
        <w:spacing w:before="120" w:after="120"/>
        <w:contextualSpacing w:val="0"/>
        <w:rPr>
          <w:sz w:val="24"/>
          <w:szCs w:val="24"/>
        </w:rPr>
      </w:pPr>
      <w:r w:rsidRPr="0055046B">
        <w:rPr>
          <w:sz w:val="24"/>
          <w:szCs w:val="24"/>
        </w:rPr>
        <w:t>Ethics</w:t>
      </w:r>
    </w:p>
    <w:p w14:paraId="5BD827BF" w14:textId="77777777" w:rsidR="0078158B" w:rsidRDefault="00173819" w:rsidP="00535B05">
      <w:pPr>
        <w:pStyle w:val="ListParagraph"/>
        <w:numPr>
          <w:ilvl w:val="1"/>
          <w:numId w:val="27"/>
        </w:numPr>
        <w:spacing w:before="120" w:after="120"/>
        <w:contextualSpacing w:val="0"/>
        <w:rPr>
          <w:sz w:val="24"/>
          <w:szCs w:val="24"/>
        </w:rPr>
      </w:pPr>
      <w:r w:rsidRPr="0055046B">
        <w:rPr>
          <w:sz w:val="24"/>
          <w:szCs w:val="24"/>
        </w:rPr>
        <w:t xml:space="preserve">Economics, </w:t>
      </w:r>
    </w:p>
    <w:p w14:paraId="57DE56D0" w14:textId="02350A40" w:rsidR="00173819" w:rsidRPr="0055046B" w:rsidRDefault="0078158B" w:rsidP="00535B05">
      <w:pPr>
        <w:pStyle w:val="ListParagraph"/>
        <w:numPr>
          <w:ilvl w:val="1"/>
          <w:numId w:val="27"/>
        </w:numPr>
        <w:spacing w:before="120" w:after="120"/>
        <w:contextualSpacing w:val="0"/>
        <w:rPr>
          <w:sz w:val="24"/>
          <w:szCs w:val="24"/>
        </w:rPr>
      </w:pPr>
      <w:r>
        <w:rPr>
          <w:sz w:val="24"/>
          <w:szCs w:val="24"/>
        </w:rPr>
        <w:t>M</w:t>
      </w:r>
      <w:r w:rsidR="00173819" w:rsidRPr="0055046B">
        <w:rPr>
          <w:sz w:val="24"/>
          <w:szCs w:val="24"/>
        </w:rPr>
        <w:t>ethodological inquiry</w:t>
      </w:r>
    </w:p>
    <w:p w14:paraId="3F2D7F02" w14:textId="32D52EB9"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Weekend Intensive Option = weekend cohort core course option available to all students at point of admission. Not concentration specific.</w:t>
      </w:r>
    </w:p>
    <w:p w14:paraId="54E972C5" w14:textId="77777777"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Reduction in core program from 36 to 24 credits = Core courses will be offered as 4 credit hour courses rather than 6 credit hour courses. An additional course, Analytic Techniques for Public Service III, will run simultaneously with Capstone. </w:t>
      </w:r>
    </w:p>
    <w:p w14:paraId="22AE7405" w14:textId="09225816"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Capstone is no longer a “core” course</w:t>
      </w:r>
      <w:r w:rsidR="0078158B">
        <w:rPr>
          <w:sz w:val="24"/>
          <w:szCs w:val="24"/>
        </w:rPr>
        <w:t>, but remains required for all students</w:t>
      </w:r>
      <w:r w:rsidRPr="0055046B">
        <w:rPr>
          <w:sz w:val="24"/>
          <w:szCs w:val="24"/>
        </w:rPr>
        <w:t>.</w:t>
      </w:r>
      <w:r w:rsidR="0078158B">
        <w:rPr>
          <w:sz w:val="24"/>
          <w:szCs w:val="24"/>
        </w:rPr>
        <w:t xml:space="preserve"> Capstone will be 4 credit hours.</w:t>
      </w:r>
    </w:p>
    <w:p w14:paraId="7C2902FF" w14:textId="3B8BDB1F"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Analytical Techniques for Public Service becomes a yearlong offering instead of only two quarters. The MPA program operated under this </w:t>
      </w:r>
      <w:r w:rsidR="0078158B">
        <w:rPr>
          <w:sz w:val="24"/>
          <w:szCs w:val="24"/>
        </w:rPr>
        <w:t>same</w:t>
      </w:r>
      <w:r w:rsidRPr="0055046B">
        <w:rPr>
          <w:sz w:val="24"/>
          <w:szCs w:val="24"/>
        </w:rPr>
        <w:t xml:space="preserve"> model from 2000 -2010. </w:t>
      </w:r>
    </w:p>
    <w:p w14:paraId="550875FD" w14:textId="19419565"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 xml:space="preserve">Concentration requirement:  MPA students will be required to complete at least one concentration of 12 credit credits, selecting from Tribal Governance, Public and Nonprofit Administration, and Public Policy. Each concentration will require students to complete 3 pre-determined courses. </w:t>
      </w:r>
    </w:p>
    <w:p w14:paraId="40A35E26" w14:textId="77777777" w:rsidR="00173819" w:rsidRPr="0055046B" w:rsidRDefault="00173819" w:rsidP="00535B05">
      <w:pPr>
        <w:pStyle w:val="ListParagraph"/>
        <w:numPr>
          <w:ilvl w:val="0"/>
          <w:numId w:val="27"/>
        </w:numPr>
        <w:spacing w:before="120" w:after="120"/>
        <w:contextualSpacing w:val="0"/>
        <w:rPr>
          <w:sz w:val="24"/>
          <w:szCs w:val="24"/>
        </w:rPr>
      </w:pPr>
      <w:r w:rsidRPr="0055046B">
        <w:rPr>
          <w:sz w:val="24"/>
          <w:szCs w:val="24"/>
        </w:rPr>
        <w:t>Termination of statistics pre-requisite to admissions requirements</w:t>
      </w:r>
    </w:p>
    <w:p w14:paraId="0F3BB9F0" w14:textId="0087AB25" w:rsidR="00AD764D" w:rsidRPr="0055046B" w:rsidRDefault="00AD764D" w:rsidP="00535B05">
      <w:pPr>
        <w:spacing w:before="120" w:after="120" w:line="276" w:lineRule="auto"/>
        <w:rPr>
          <w:rFonts w:cs="Arial"/>
          <w:sz w:val="24"/>
          <w:szCs w:val="24"/>
        </w:rPr>
      </w:pPr>
    </w:p>
    <w:p w14:paraId="1007E6CB" w14:textId="44BB3BE3" w:rsidR="00C4207E" w:rsidRPr="0055046B" w:rsidRDefault="0055046B" w:rsidP="00535B05">
      <w:pPr>
        <w:spacing w:before="120" w:after="120" w:line="276" w:lineRule="auto"/>
        <w:rPr>
          <w:rFonts w:asciiTheme="minorHAnsi" w:hAnsiTheme="minorHAnsi" w:cstheme="minorHAnsi"/>
          <w:b/>
        </w:rPr>
      </w:pPr>
      <w:r w:rsidRPr="0055046B">
        <w:rPr>
          <w:rFonts w:asciiTheme="minorHAnsi" w:hAnsiTheme="minorHAnsi" w:cstheme="minorHAnsi"/>
          <w:b/>
        </w:rPr>
        <w:t>Analysis Results Considered:</w:t>
      </w:r>
    </w:p>
    <w:p w14:paraId="51E095E9" w14:textId="77777777" w:rsidR="0029627E" w:rsidRDefault="0029627E" w:rsidP="00535B05">
      <w:pPr>
        <w:pStyle w:val="ListParagraph"/>
        <w:numPr>
          <w:ilvl w:val="0"/>
          <w:numId w:val="29"/>
        </w:numPr>
        <w:spacing w:before="120" w:after="120"/>
        <w:ind w:left="1080"/>
        <w:contextualSpacing w:val="0"/>
        <w:rPr>
          <w:sz w:val="24"/>
          <w:szCs w:val="24"/>
        </w:rPr>
      </w:pPr>
      <w:r w:rsidRPr="0029627E">
        <w:rPr>
          <w:sz w:val="24"/>
          <w:szCs w:val="24"/>
        </w:rPr>
        <w:lastRenderedPageBreak/>
        <w:t xml:space="preserve">The workgroup consulted with Colby Morelli in Evergreen’s Financial Aid office about financial aid for part-time students </w:t>
      </w:r>
      <w:r>
        <w:rPr>
          <w:sz w:val="24"/>
          <w:szCs w:val="24"/>
        </w:rPr>
        <w:t>with regards to 8 vs.</w:t>
      </w:r>
      <w:r w:rsidR="0055046B" w:rsidRPr="0029627E">
        <w:rPr>
          <w:sz w:val="24"/>
          <w:szCs w:val="24"/>
        </w:rPr>
        <w:t>10 credits</w:t>
      </w:r>
      <w:r w:rsidRPr="0029627E">
        <w:rPr>
          <w:sz w:val="24"/>
          <w:szCs w:val="24"/>
        </w:rPr>
        <w:t xml:space="preserve">. They discovered that only a limited amount of students </w:t>
      </w:r>
      <w:r>
        <w:rPr>
          <w:sz w:val="24"/>
          <w:szCs w:val="24"/>
        </w:rPr>
        <w:t xml:space="preserve">may </w:t>
      </w:r>
      <w:r w:rsidRPr="0029627E">
        <w:rPr>
          <w:sz w:val="24"/>
          <w:szCs w:val="24"/>
        </w:rPr>
        <w:t xml:space="preserve">need to take 10 credits and therefore </w:t>
      </w:r>
      <w:r>
        <w:rPr>
          <w:sz w:val="24"/>
          <w:szCs w:val="24"/>
        </w:rPr>
        <w:t xml:space="preserve">these </w:t>
      </w:r>
      <w:r w:rsidRPr="0029627E">
        <w:rPr>
          <w:sz w:val="24"/>
          <w:szCs w:val="24"/>
        </w:rPr>
        <w:t xml:space="preserve">students, </w:t>
      </w:r>
      <w:r>
        <w:rPr>
          <w:sz w:val="24"/>
          <w:szCs w:val="24"/>
        </w:rPr>
        <w:t>who’s aid is contingent on</w:t>
      </w:r>
      <w:r w:rsidRPr="0029627E">
        <w:rPr>
          <w:sz w:val="24"/>
          <w:szCs w:val="24"/>
        </w:rPr>
        <w:t xml:space="preserve"> maintaining a particular course load, can receive advising for a schedule that will keep them in compliance with these requirements</w:t>
      </w:r>
      <w:r>
        <w:rPr>
          <w:sz w:val="24"/>
          <w:szCs w:val="24"/>
        </w:rPr>
        <w:t xml:space="preserve">. </w:t>
      </w:r>
    </w:p>
    <w:p w14:paraId="4A545ABE" w14:textId="2FE3FDD6" w:rsidR="0055046B" w:rsidRDefault="0055046B" w:rsidP="00535B05">
      <w:pPr>
        <w:pStyle w:val="ListParagraph"/>
        <w:numPr>
          <w:ilvl w:val="1"/>
          <w:numId w:val="29"/>
        </w:numPr>
        <w:spacing w:before="120" w:after="120"/>
        <w:ind w:left="1800"/>
        <w:contextualSpacing w:val="0"/>
        <w:rPr>
          <w:sz w:val="24"/>
          <w:szCs w:val="24"/>
        </w:rPr>
      </w:pPr>
      <w:r w:rsidRPr="0029627E">
        <w:rPr>
          <w:sz w:val="24"/>
          <w:szCs w:val="24"/>
        </w:rPr>
        <w:t>Every Tribal Nation has it’s own support and so there will be some cases where students do need to take 10 credits so we will just need to remain apprised of that type of situation and assist those students with taking their 10 credits</w:t>
      </w:r>
      <w:r w:rsidR="0029627E">
        <w:rPr>
          <w:sz w:val="24"/>
          <w:szCs w:val="24"/>
        </w:rPr>
        <w:t>.</w:t>
      </w:r>
    </w:p>
    <w:p w14:paraId="5FFCEF41" w14:textId="39EB465D" w:rsidR="000F762A" w:rsidRPr="00535B05" w:rsidRDefault="008D34E5" w:rsidP="00535B05">
      <w:pPr>
        <w:pStyle w:val="ListParagraph"/>
        <w:numPr>
          <w:ilvl w:val="1"/>
          <w:numId w:val="29"/>
        </w:numPr>
        <w:spacing w:before="120" w:after="120"/>
        <w:ind w:left="1800"/>
        <w:contextualSpacing w:val="0"/>
        <w:rPr>
          <w:sz w:val="24"/>
          <w:szCs w:val="24"/>
        </w:rPr>
      </w:pPr>
      <w:r>
        <w:rPr>
          <w:sz w:val="24"/>
          <w:szCs w:val="24"/>
        </w:rPr>
        <w:t>Amy</w:t>
      </w:r>
      <w:r w:rsidR="0029627E">
        <w:rPr>
          <w:sz w:val="24"/>
          <w:szCs w:val="24"/>
        </w:rPr>
        <w:t xml:space="preserve"> let us know that there are a group </w:t>
      </w:r>
      <w:r w:rsidR="0019136A">
        <w:rPr>
          <w:sz w:val="24"/>
          <w:szCs w:val="24"/>
        </w:rPr>
        <w:t xml:space="preserve">of Vets from pre 9/11 that must complete the program in 2 years </w:t>
      </w:r>
      <w:r w:rsidR="0029627E">
        <w:rPr>
          <w:sz w:val="24"/>
          <w:szCs w:val="24"/>
        </w:rPr>
        <w:t xml:space="preserve">in order to receive funding </w:t>
      </w:r>
      <w:r w:rsidR="0019136A">
        <w:rPr>
          <w:sz w:val="24"/>
          <w:szCs w:val="24"/>
        </w:rPr>
        <w:t xml:space="preserve">so a part-time model will not work for them </w:t>
      </w:r>
      <w:r w:rsidR="0029627E">
        <w:rPr>
          <w:sz w:val="24"/>
          <w:szCs w:val="24"/>
        </w:rPr>
        <w:t>and she will forward that information to MPA.</w:t>
      </w:r>
    </w:p>
    <w:p w14:paraId="32529CA0" w14:textId="374EFB3F" w:rsidR="000F762A" w:rsidRPr="000F762A" w:rsidRDefault="000F762A" w:rsidP="00535B05">
      <w:pPr>
        <w:pStyle w:val="ListParagraph"/>
        <w:numPr>
          <w:ilvl w:val="0"/>
          <w:numId w:val="29"/>
        </w:numPr>
        <w:spacing w:before="120" w:after="120" w:line="259" w:lineRule="auto"/>
        <w:ind w:left="1080"/>
        <w:contextualSpacing w:val="0"/>
        <w:rPr>
          <w:sz w:val="24"/>
          <w:szCs w:val="24"/>
        </w:rPr>
      </w:pPr>
      <w:r w:rsidRPr="000F762A">
        <w:rPr>
          <w:sz w:val="24"/>
          <w:szCs w:val="24"/>
        </w:rPr>
        <w:t xml:space="preserve">Discussion with Coral Garey in Evergreen’s Office for Institutional Research confirmed that Washington State defines a full-time equivalent in graduate program enrollment as one student enrolled for 10 credits. Hence, a part-time student at 6 credits would count as 0.6 FTE, and a student at 12 credits </w:t>
      </w:r>
      <w:r>
        <w:rPr>
          <w:sz w:val="24"/>
          <w:szCs w:val="24"/>
        </w:rPr>
        <w:t xml:space="preserve">would count as 1.2 FTE. </w:t>
      </w:r>
      <w:r w:rsidRPr="000F762A">
        <w:rPr>
          <w:sz w:val="24"/>
          <w:szCs w:val="24"/>
        </w:rPr>
        <w:t>A greater proportion of part-time students would lower AAFTE in a given year. It would also be expected to increase program headcount (since part-time students stay in the program longer in order to complete their degree).</w:t>
      </w:r>
    </w:p>
    <w:p w14:paraId="00F3F6B4" w14:textId="5C303B23" w:rsidR="000F762A" w:rsidRDefault="00535B05" w:rsidP="00535B05">
      <w:pPr>
        <w:pStyle w:val="ListParagraph"/>
        <w:numPr>
          <w:ilvl w:val="1"/>
          <w:numId w:val="29"/>
        </w:numPr>
        <w:spacing w:before="120" w:after="120"/>
        <w:ind w:left="1800"/>
        <w:contextualSpacing w:val="0"/>
        <w:rPr>
          <w:sz w:val="24"/>
          <w:szCs w:val="24"/>
        </w:rPr>
      </w:pPr>
      <w:r>
        <w:rPr>
          <w:sz w:val="24"/>
          <w:szCs w:val="24"/>
        </w:rPr>
        <w:t>If</w:t>
      </w:r>
      <w:r w:rsidR="00C2063F">
        <w:rPr>
          <w:sz w:val="24"/>
          <w:szCs w:val="24"/>
        </w:rPr>
        <w:t xml:space="preserve"> this change happens, a</w:t>
      </w:r>
      <w:r w:rsidR="000F762A" w:rsidRPr="00083FAF">
        <w:rPr>
          <w:sz w:val="24"/>
          <w:szCs w:val="24"/>
        </w:rPr>
        <w:t xml:space="preserve">t first it may look like we </w:t>
      </w:r>
      <w:r w:rsidR="005F0005">
        <w:rPr>
          <w:sz w:val="24"/>
          <w:szCs w:val="24"/>
        </w:rPr>
        <w:t>have a decline in FTE students</w:t>
      </w:r>
      <w:r w:rsidR="000F762A" w:rsidRPr="00083FAF">
        <w:rPr>
          <w:sz w:val="24"/>
          <w:szCs w:val="24"/>
        </w:rPr>
        <w:t xml:space="preserve"> so we will </w:t>
      </w:r>
      <w:r>
        <w:rPr>
          <w:sz w:val="24"/>
          <w:szCs w:val="24"/>
        </w:rPr>
        <w:t>need to be certain to have ongoing</w:t>
      </w:r>
      <w:r w:rsidR="000F762A" w:rsidRPr="00083FAF">
        <w:rPr>
          <w:sz w:val="24"/>
          <w:szCs w:val="24"/>
        </w:rPr>
        <w:t xml:space="preserve"> communication with Institutional Research</w:t>
      </w:r>
    </w:p>
    <w:p w14:paraId="31062458" w14:textId="565CAAF4" w:rsidR="00C2063F" w:rsidRDefault="00C2063F" w:rsidP="00535B05">
      <w:pPr>
        <w:pStyle w:val="ListParagraph"/>
        <w:numPr>
          <w:ilvl w:val="1"/>
          <w:numId w:val="29"/>
        </w:numPr>
        <w:spacing w:before="120" w:after="120"/>
        <w:ind w:left="1800"/>
        <w:contextualSpacing w:val="0"/>
        <w:rPr>
          <w:sz w:val="24"/>
          <w:szCs w:val="24"/>
        </w:rPr>
      </w:pPr>
      <w:r>
        <w:rPr>
          <w:sz w:val="24"/>
          <w:szCs w:val="24"/>
        </w:rPr>
        <w:t>Also i</w:t>
      </w:r>
      <w:r w:rsidRPr="00C2063F">
        <w:rPr>
          <w:sz w:val="24"/>
          <w:szCs w:val="24"/>
        </w:rPr>
        <w:t xml:space="preserve">mportant that </w:t>
      </w:r>
      <w:r>
        <w:rPr>
          <w:sz w:val="24"/>
          <w:szCs w:val="24"/>
        </w:rPr>
        <w:t xml:space="preserve">our Government Relations Director, </w:t>
      </w:r>
      <w:r w:rsidR="005F0005">
        <w:rPr>
          <w:sz w:val="24"/>
          <w:szCs w:val="24"/>
        </w:rPr>
        <w:t>Jeremy M</w:t>
      </w:r>
      <w:r w:rsidRPr="00C2063F">
        <w:rPr>
          <w:sz w:val="24"/>
          <w:szCs w:val="24"/>
        </w:rPr>
        <w:t>ohn</w:t>
      </w:r>
      <w:r w:rsidR="005F0005">
        <w:rPr>
          <w:sz w:val="24"/>
          <w:szCs w:val="24"/>
        </w:rPr>
        <w:t>,</w:t>
      </w:r>
      <w:r w:rsidRPr="00C2063F">
        <w:rPr>
          <w:sz w:val="24"/>
          <w:szCs w:val="24"/>
        </w:rPr>
        <w:t xml:space="preserve"> knows so that he’s prepared with answers </w:t>
      </w:r>
      <w:r>
        <w:rPr>
          <w:sz w:val="24"/>
          <w:szCs w:val="24"/>
        </w:rPr>
        <w:t>to questions that may come up</w:t>
      </w:r>
    </w:p>
    <w:p w14:paraId="53238C53" w14:textId="5FC3E988" w:rsidR="00C2063F" w:rsidRPr="00C2063F" w:rsidRDefault="00C2063F" w:rsidP="00535B05">
      <w:pPr>
        <w:pStyle w:val="ListParagraph"/>
        <w:numPr>
          <w:ilvl w:val="1"/>
          <w:numId w:val="29"/>
        </w:numPr>
        <w:spacing w:before="120" w:after="120"/>
        <w:ind w:left="1800"/>
        <w:contextualSpacing w:val="0"/>
        <w:rPr>
          <w:sz w:val="24"/>
          <w:szCs w:val="24"/>
        </w:rPr>
      </w:pPr>
      <w:r>
        <w:rPr>
          <w:sz w:val="24"/>
          <w:szCs w:val="24"/>
        </w:rPr>
        <w:t>Mike will also make other Administrators at Evergreen aware of the change</w:t>
      </w:r>
      <w:r w:rsidR="0045099F">
        <w:rPr>
          <w:sz w:val="24"/>
          <w:szCs w:val="24"/>
        </w:rPr>
        <w:t>, includi</w:t>
      </w:r>
      <w:r w:rsidR="00A90586">
        <w:rPr>
          <w:sz w:val="24"/>
          <w:szCs w:val="24"/>
        </w:rPr>
        <w:t>ng the Directors of MES and MIT</w:t>
      </w:r>
    </w:p>
    <w:p w14:paraId="482107CE" w14:textId="77777777" w:rsidR="0019136A" w:rsidRPr="00C2063F" w:rsidRDefault="0019136A" w:rsidP="00A90586">
      <w:pPr>
        <w:pStyle w:val="ListParagraph"/>
        <w:ind w:left="1800"/>
        <w:rPr>
          <w:sz w:val="24"/>
          <w:szCs w:val="24"/>
        </w:rPr>
      </w:pPr>
    </w:p>
    <w:p w14:paraId="7CBAD815" w14:textId="77777777" w:rsidR="00B073F3" w:rsidRDefault="00B073F3" w:rsidP="00C4207E">
      <w:pPr>
        <w:spacing w:line="276" w:lineRule="auto"/>
        <w:rPr>
          <w:rFonts w:asciiTheme="minorHAnsi" w:hAnsiTheme="minorHAnsi" w:cstheme="minorHAnsi"/>
          <w:b/>
        </w:rPr>
      </w:pPr>
      <w:r>
        <w:rPr>
          <w:rFonts w:asciiTheme="minorHAnsi" w:hAnsiTheme="minorHAnsi" w:cstheme="minorHAnsi"/>
          <w:b/>
          <w:sz w:val="32"/>
          <w:szCs w:val="32"/>
        </w:rPr>
        <w:t>Decision and Next Steps</w:t>
      </w:r>
      <w:r w:rsidRPr="001F0649">
        <w:rPr>
          <w:rFonts w:asciiTheme="minorHAnsi" w:hAnsiTheme="minorHAnsi" w:cstheme="minorHAnsi"/>
          <w:b/>
          <w:sz w:val="32"/>
          <w:szCs w:val="32"/>
        </w:rPr>
        <w:t>:</w:t>
      </w:r>
      <w:r>
        <w:rPr>
          <w:rFonts w:asciiTheme="minorHAnsi" w:hAnsiTheme="minorHAnsi" w:cstheme="minorHAnsi"/>
          <w:b/>
        </w:rPr>
        <w:t xml:space="preserve"> </w:t>
      </w:r>
    </w:p>
    <w:p w14:paraId="200B2525" w14:textId="74C6A037" w:rsidR="00535B05" w:rsidRDefault="00535B05" w:rsidP="00535B05">
      <w:pPr>
        <w:pStyle w:val="ListParagraph"/>
        <w:numPr>
          <w:ilvl w:val="0"/>
          <w:numId w:val="31"/>
        </w:numPr>
        <w:rPr>
          <w:sz w:val="24"/>
          <w:szCs w:val="24"/>
        </w:rPr>
      </w:pPr>
      <w:r w:rsidRPr="00535B05">
        <w:rPr>
          <w:sz w:val="24"/>
          <w:szCs w:val="24"/>
        </w:rPr>
        <w:t xml:space="preserve">Larry Geri may attend our MPA Monthly </w:t>
      </w:r>
      <w:r w:rsidR="008335FE">
        <w:rPr>
          <w:sz w:val="24"/>
          <w:szCs w:val="24"/>
        </w:rPr>
        <w:t>program m</w:t>
      </w:r>
      <w:r w:rsidRPr="00535B05">
        <w:rPr>
          <w:sz w:val="24"/>
          <w:szCs w:val="24"/>
        </w:rPr>
        <w:t>eeting next week. He will need to send us a rationale for the Dean having</w:t>
      </w:r>
      <w:r w:rsidR="005F0005">
        <w:rPr>
          <w:sz w:val="24"/>
          <w:szCs w:val="24"/>
        </w:rPr>
        <w:t xml:space="preserve"> a</w:t>
      </w:r>
      <w:r w:rsidRPr="00535B05">
        <w:rPr>
          <w:sz w:val="24"/>
          <w:szCs w:val="24"/>
        </w:rPr>
        <w:t xml:space="preserve"> say in MPA</w:t>
      </w:r>
      <w:r w:rsidR="005F0005">
        <w:rPr>
          <w:sz w:val="24"/>
          <w:szCs w:val="24"/>
        </w:rPr>
        <w:t>’</w:t>
      </w:r>
      <w:r w:rsidRPr="00535B05">
        <w:rPr>
          <w:sz w:val="24"/>
          <w:szCs w:val="24"/>
        </w:rPr>
        <w:t xml:space="preserve">s organizational structure. </w:t>
      </w:r>
    </w:p>
    <w:p w14:paraId="2BE18228" w14:textId="77777777" w:rsidR="00535B05" w:rsidRPr="00535B05" w:rsidRDefault="00535B05" w:rsidP="00535B05">
      <w:pPr>
        <w:ind w:left="360"/>
        <w:rPr>
          <w:sz w:val="24"/>
          <w:szCs w:val="24"/>
        </w:rPr>
      </w:pPr>
    </w:p>
    <w:p w14:paraId="3E222770" w14:textId="0A65CDFF" w:rsidR="00A90586" w:rsidRPr="00A90586" w:rsidRDefault="00A90586" w:rsidP="00A90586">
      <w:pPr>
        <w:pStyle w:val="ListParagraph"/>
        <w:numPr>
          <w:ilvl w:val="0"/>
          <w:numId w:val="31"/>
        </w:numPr>
        <w:rPr>
          <w:sz w:val="24"/>
          <w:szCs w:val="24"/>
        </w:rPr>
      </w:pPr>
      <w:r w:rsidRPr="00A90586">
        <w:rPr>
          <w:sz w:val="24"/>
          <w:szCs w:val="24"/>
        </w:rPr>
        <w:t>Motion</w:t>
      </w:r>
      <w:r w:rsidR="005F0005">
        <w:rPr>
          <w:sz w:val="24"/>
          <w:szCs w:val="24"/>
        </w:rPr>
        <w:t xml:space="preserve"> made</w:t>
      </w:r>
      <w:r w:rsidRPr="00A90586">
        <w:rPr>
          <w:sz w:val="24"/>
          <w:szCs w:val="24"/>
        </w:rPr>
        <w:t xml:space="preserve"> to adopt decision package as presented other than amended to include that titles of courses are only placeholders and will be decided upon later for </w:t>
      </w:r>
      <w:r>
        <w:rPr>
          <w:sz w:val="24"/>
          <w:szCs w:val="24"/>
        </w:rPr>
        <w:t>AY 2021 – 22 and going forward</w:t>
      </w:r>
      <w:r w:rsidR="005F0005">
        <w:rPr>
          <w:sz w:val="24"/>
          <w:szCs w:val="24"/>
        </w:rPr>
        <w:t xml:space="preserve"> (see Appendix)</w:t>
      </w:r>
    </w:p>
    <w:p w14:paraId="73222A7F" w14:textId="77777777" w:rsidR="00A90586" w:rsidRPr="00A90586" w:rsidRDefault="00A90586" w:rsidP="00A90586">
      <w:pPr>
        <w:ind w:left="1440"/>
        <w:rPr>
          <w:sz w:val="24"/>
          <w:szCs w:val="24"/>
        </w:rPr>
      </w:pPr>
    </w:p>
    <w:p w14:paraId="29A51BA4" w14:textId="6D39B5FA" w:rsidR="00A90586" w:rsidRPr="006E5BBB" w:rsidRDefault="00A90586" w:rsidP="00A90586">
      <w:pPr>
        <w:pStyle w:val="ListParagraph"/>
        <w:numPr>
          <w:ilvl w:val="0"/>
          <w:numId w:val="31"/>
        </w:numPr>
      </w:pPr>
      <w:r>
        <w:rPr>
          <w:sz w:val="24"/>
          <w:szCs w:val="24"/>
        </w:rPr>
        <w:t>Motion 2</w:t>
      </w:r>
      <w:r w:rsidRPr="00A90586">
        <w:rPr>
          <w:sz w:val="24"/>
          <w:szCs w:val="24"/>
          <w:vertAlign w:val="superscript"/>
        </w:rPr>
        <w:t>nd</w:t>
      </w:r>
      <w:r>
        <w:rPr>
          <w:sz w:val="24"/>
          <w:szCs w:val="24"/>
        </w:rPr>
        <w:t xml:space="preserve"> voted and u</w:t>
      </w:r>
      <w:r w:rsidRPr="00A90586">
        <w:rPr>
          <w:sz w:val="24"/>
          <w:szCs w:val="24"/>
        </w:rPr>
        <w:t>nanimously accepted</w:t>
      </w:r>
    </w:p>
    <w:p w14:paraId="407E5B2C" w14:textId="77777777" w:rsidR="006E5BBB" w:rsidRDefault="006E5BBB" w:rsidP="006E5BBB"/>
    <w:p w14:paraId="62F3DD51" w14:textId="23388B42" w:rsidR="006E5BBB" w:rsidRDefault="006E5BBB" w:rsidP="00A90586">
      <w:pPr>
        <w:pStyle w:val="ListParagraph"/>
        <w:numPr>
          <w:ilvl w:val="0"/>
          <w:numId w:val="31"/>
        </w:numPr>
      </w:pPr>
      <w:r>
        <w:lastRenderedPageBreak/>
        <w:t>Mike will amend model proposal document and resend final draft to MPA</w:t>
      </w:r>
    </w:p>
    <w:p w14:paraId="0D59ACFF" w14:textId="2AD46318" w:rsidR="00C4207E" w:rsidRDefault="00C4207E" w:rsidP="00C4207E">
      <w:pPr>
        <w:spacing w:line="276" w:lineRule="auto"/>
        <w:ind w:left="720"/>
        <w:jc w:val="center"/>
        <w:rPr>
          <w:rFonts w:cs="Arial"/>
          <w:sz w:val="24"/>
          <w:szCs w:val="24"/>
        </w:rPr>
      </w:pPr>
    </w:p>
    <w:p w14:paraId="30EA522E" w14:textId="285F8CF9" w:rsidR="00C4207E" w:rsidRDefault="00C4207E" w:rsidP="00C4207E">
      <w:pPr>
        <w:spacing w:line="276" w:lineRule="auto"/>
        <w:ind w:left="720"/>
        <w:jc w:val="center"/>
        <w:rPr>
          <w:rFonts w:cs="Arial"/>
          <w:sz w:val="24"/>
          <w:szCs w:val="24"/>
        </w:rPr>
      </w:pPr>
    </w:p>
    <w:p w14:paraId="74AFF343" w14:textId="77777777" w:rsidR="00C4207E" w:rsidRPr="00C4207E" w:rsidRDefault="00C4207E" w:rsidP="00C4207E">
      <w:pPr>
        <w:spacing w:line="276" w:lineRule="auto"/>
        <w:ind w:left="720"/>
        <w:jc w:val="center"/>
        <w:rPr>
          <w:rFonts w:cs="Arial"/>
          <w:sz w:val="24"/>
          <w:szCs w:val="24"/>
        </w:rPr>
      </w:pPr>
    </w:p>
    <w:p w14:paraId="12A4BC4E" w14:textId="626BB023" w:rsidR="00D742BC" w:rsidRDefault="00A90586" w:rsidP="00535B05">
      <w:pPr>
        <w:spacing w:line="276" w:lineRule="auto"/>
        <w:ind w:left="720"/>
        <w:jc w:val="center"/>
        <w:rPr>
          <w:rFonts w:asciiTheme="minorHAnsi" w:hAnsiTheme="minorHAnsi" w:cstheme="minorHAnsi"/>
          <w:i/>
          <w:sz w:val="32"/>
          <w:szCs w:val="32"/>
        </w:rPr>
      </w:pPr>
      <w:r w:rsidRPr="00535B05">
        <w:rPr>
          <w:rFonts w:asciiTheme="minorHAnsi" w:hAnsiTheme="minorHAnsi" w:cstheme="minorHAnsi"/>
          <w:i/>
          <w:sz w:val="32"/>
          <w:szCs w:val="32"/>
        </w:rPr>
        <w:t>Congratulations on Your Curriculum Planning Efforts!</w:t>
      </w:r>
    </w:p>
    <w:p w14:paraId="5851282C" w14:textId="651EB92D" w:rsidR="005F0005" w:rsidRDefault="005F0005" w:rsidP="00535B05">
      <w:pPr>
        <w:spacing w:line="276" w:lineRule="auto"/>
        <w:ind w:left="720"/>
        <w:jc w:val="center"/>
        <w:rPr>
          <w:rFonts w:asciiTheme="minorHAnsi" w:hAnsiTheme="minorHAnsi" w:cstheme="minorHAnsi"/>
          <w:i/>
          <w:sz w:val="32"/>
          <w:szCs w:val="32"/>
        </w:rPr>
      </w:pPr>
    </w:p>
    <w:p w14:paraId="66B2D979" w14:textId="5898711A" w:rsidR="005F0005" w:rsidRDefault="005F0005" w:rsidP="00535B05">
      <w:pPr>
        <w:spacing w:line="276" w:lineRule="auto"/>
        <w:ind w:left="720"/>
        <w:jc w:val="center"/>
        <w:rPr>
          <w:rFonts w:asciiTheme="minorHAnsi" w:hAnsiTheme="minorHAnsi" w:cstheme="minorHAnsi"/>
          <w:i/>
          <w:sz w:val="32"/>
          <w:szCs w:val="32"/>
        </w:rPr>
      </w:pPr>
    </w:p>
    <w:p w14:paraId="25C88588"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Decision Package</w:t>
      </w:r>
    </w:p>
    <w:p w14:paraId="18B76F2D"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 xml:space="preserve">TESC MPA Curriculum Changes for AY 2021-2022 </w:t>
      </w:r>
    </w:p>
    <w:p w14:paraId="5030D0BD"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May 21, 2020</w:t>
      </w:r>
    </w:p>
    <w:p w14:paraId="7BC4AFC2" w14:textId="77777777" w:rsidR="005F0005" w:rsidRPr="005F0005" w:rsidRDefault="005F0005" w:rsidP="005F0005">
      <w:pPr>
        <w:rPr>
          <w:rFonts w:ascii="Times New Roman" w:eastAsiaTheme="minorHAnsi" w:hAnsi="Times New Roman"/>
          <w:color w:val="auto"/>
          <w:sz w:val="24"/>
          <w:szCs w:val="24"/>
          <w:lang w:eastAsia="en-US"/>
        </w:rPr>
      </w:pPr>
    </w:p>
    <w:p w14:paraId="4397A228" w14:textId="77777777" w:rsidR="005F0005" w:rsidRPr="005F0005" w:rsidRDefault="005F0005" w:rsidP="005F0005">
      <w:pPr>
        <w:rPr>
          <w:rFonts w:ascii="Times New Roman" w:eastAsiaTheme="minorHAnsi" w:hAnsi="Times New Roman"/>
          <w:color w:val="auto"/>
          <w:sz w:val="24"/>
          <w:szCs w:val="24"/>
          <w:lang w:eastAsia="en-US"/>
        </w:rPr>
      </w:pPr>
    </w:p>
    <w:p w14:paraId="2B34BBF6"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SUMMARY OF KEY CHANGES</w:t>
      </w:r>
    </w:p>
    <w:p w14:paraId="211BA7A2" w14:textId="77777777" w:rsidR="005F0005" w:rsidRPr="005F0005" w:rsidRDefault="005F0005" w:rsidP="005F0005">
      <w:pPr>
        <w:rPr>
          <w:rFonts w:ascii="Times New Roman" w:eastAsiaTheme="minorHAnsi" w:hAnsi="Times New Roman"/>
          <w:b/>
          <w:color w:val="auto"/>
          <w:sz w:val="24"/>
          <w:szCs w:val="24"/>
          <w:u w:val="single"/>
          <w:lang w:eastAsia="en-US"/>
        </w:rPr>
      </w:pPr>
    </w:p>
    <w:p w14:paraId="3CFAAE78" w14:textId="77777777" w:rsidR="005F0005" w:rsidRPr="005F0005" w:rsidRDefault="005F0005" w:rsidP="005F0005">
      <w:pPr>
        <w:numPr>
          <w:ilvl w:val="0"/>
          <w:numId w:val="27"/>
        </w:numPr>
        <w:ind w:left="720"/>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Core Cohorts: Learning lenses woven throughout all cohorts’ core courses = path to sovereignty, ethics, economics, methodological inquiry. Weekend Intensive Option =    weekend cohort core course option available to all students at point of admission. Not concentration specific. Reduction in core program from 36 to 24 credits =  Core courses will be offered as 4 credit hour courses rather than 6 credit hour courses. An additional course, Analytic Techniques for Public Service III, will run simultaneously with Capstone. Capstone is no longer a “core” course, but a distinct course offering. Analytical Techniques for Public Service becomes a year-long offering instead of only two quarters. The MPA program operated under this exact model from 2000 -2010. </w:t>
      </w:r>
    </w:p>
    <w:p w14:paraId="78040968" w14:textId="77777777" w:rsidR="005F0005" w:rsidRPr="005F0005" w:rsidRDefault="005F0005" w:rsidP="005F0005">
      <w:pPr>
        <w:ind w:left="720"/>
        <w:contextualSpacing/>
        <w:rPr>
          <w:rFonts w:ascii="Times New Roman" w:eastAsiaTheme="minorHAnsi" w:hAnsi="Times New Roman"/>
          <w:color w:val="auto"/>
          <w:sz w:val="24"/>
          <w:szCs w:val="24"/>
          <w:lang w:eastAsia="en-US"/>
        </w:rPr>
      </w:pPr>
    </w:p>
    <w:p w14:paraId="4DE9D67D" w14:textId="77777777" w:rsidR="005F0005" w:rsidRPr="005F0005" w:rsidRDefault="005F0005" w:rsidP="005F0005">
      <w:pPr>
        <w:numPr>
          <w:ilvl w:val="0"/>
          <w:numId w:val="27"/>
        </w:numPr>
        <w:ind w:left="720"/>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Concentration requirement:  MPA students will be required to complete at least one concentration of 12 credit credits, selecting from Tribal Governance, Public and Nonprofit Administration, and Public Policy. Each concentration will require students to complete 3 pre-determined courses. </w:t>
      </w:r>
    </w:p>
    <w:p w14:paraId="1ED64F0E" w14:textId="77777777" w:rsidR="005F0005" w:rsidRPr="005F0005" w:rsidRDefault="005F0005" w:rsidP="005F0005">
      <w:pPr>
        <w:ind w:left="720"/>
        <w:contextualSpacing/>
        <w:rPr>
          <w:rFonts w:ascii="Times New Roman" w:eastAsiaTheme="minorHAnsi" w:hAnsi="Times New Roman"/>
          <w:color w:val="auto"/>
          <w:sz w:val="24"/>
          <w:szCs w:val="24"/>
          <w:lang w:eastAsia="en-US"/>
        </w:rPr>
      </w:pPr>
    </w:p>
    <w:p w14:paraId="1EA3972B" w14:textId="77777777" w:rsidR="005F0005" w:rsidRPr="005F0005" w:rsidRDefault="005F0005" w:rsidP="005F0005">
      <w:pPr>
        <w:numPr>
          <w:ilvl w:val="0"/>
          <w:numId w:val="27"/>
        </w:numPr>
        <w:ind w:left="720"/>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Termination of statistics pre-requisite to admissions requirements</w:t>
      </w:r>
    </w:p>
    <w:p w14:paraId="04EB0040" w14:textId="77777777" w:rsidR="005F0005" w:rsidRPr="005F0005" w:rsidRDefault="005F0005" w:rsidP="005F0005">
      <w:pPr>
        <w:rPr>
          <w:rFonts w:ascii="Times New Roman" w:eastAsiaTheme="minorHAnsi" w:hAnsi="Times New Roman"/>
          <w:color w:val="auto"/>
          <w:sz w:val="24"/>
          <w:szCs w:val="24"/>
          <w:lang w:eastAsia="en-US"/>
        </w:rPr>
      </w:pPr>
    </w:p>
    <w:p w14:paraId="4675507F" w14:textId="77777777" w:rsidR="005F0005" w:rsidRPr="005F0005" w:rsidRDefault="005F0005" w:rsidP="005F0005">
      <w:pPr>
        <w:rPr>
          <w:rFonts w:ascii="Times New Roman" w:eastAsiaTheme="minorHAnsi" w:hAnsi="Times New Roman"/>
          <w:b/>
          <w:color w:val="auto"/>
          <w:sz w:val="24"/>
          <w:szCs w:val="24"/>
          <w:lang w:eastAsia="en-US"/>
        </w:rPr>
      </w:pPr>
    </w:p>
    <w:p w14:paraId="1D9DE949"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BACKGROUND</w:t>
      </w:r>
    </w:p>
    <w:p w14:paraId="4E0B647E" w14:textId="77777777" w:rsidR="005F0005" w:rsidRPr="005F0005" w:rsidRDefault="005F0005" w:rsidP="005F0005">
      <w:pPr>
        <w:rPr>
          <w:rFonts w:ascii="Times New Roman" w:eastAsiaTheme="minorHAnsi" w:hAnsi="Times New Roman"/>
          <w:color w:val="auto"/>
          <w:sz w:val="24"/>
          <w:szCs w:val="24"/>
          <w:lang w:eastAsia="en-US"/>
        </w:rPr>
      </w:pPr>
    </w:p>
    <w:p w14:paraId="261B20D9"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The Evergreen State College Master of Public Administration (MPA) program continuously gathers input on its curriculum from multiple sources, including annual summer institutes with key stakeholders, student, alumni, and employer surveys, external reviews, and regional meetings and conferences. Periodically, MPA program faculty and staff evaluate the MPA curriculum in light of this input to consider revisions that will better align the curriculum with the needs of public and nonprofit sector employers, students, and the community at large. The latest significant re-design of the MPA program was in 2010, which included the adoption of the 36 credit hour (6 credits per quarter) model for the MPA core curriculum.  While this model has served the program well in several ways (such as improving the program’s 2-year graduation </w:t>
      </w:r>
      <w:r w:rsidRPr="005F0005">
        <w:rPr>
          <w:rFonts w:ascii="Times New Roman" w:eastAsiaTheme="minorHAnsi" w:hAnsi="Times New Roman"/>
          <w:color w:val="auto"/>
          <w:sz w:val="24"/>
          <w:szCs w:val="24"/>
          <w:lang w:eastAsia="en-US"/>
        </w:rPr>
        <w:lastRenderedPageBreak/>
        <w:t>rate), other sources of feedback identify opportunities for improvement. Some of the key findings emerging from these reports include:</w:t>
      </w:r>
    </w:p>
    <w:p w14:paraId="79C7EDF5" w14:textId="77777777" w:rsidR="005F0005" w:rsidRPr="005F0005" w:rsidRDefault="005F0005" w:rsidP="005F0005">
      <w:pPr>
        <w:rPr>
          <w:rFonts w:ascii="Times New Roman" w:eastAsiaTheme="minorHAnsi" w:hAnsi="Times New Roman"/>
          <w:color w:val="auto"/>
          <w:sz w:val="24"/>
          <w:szCs w:val="24"/>
          <w:lang w:eastAsia="en-US"/>
        </w:rPr>
      </w:pPr>
    </w:p>
    <w:p w14:paraId="0600DB00"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Declining overall student satisfaction with MPA program curriculum and instruction</w:t>
      </w:r>
    </w:p>
    <w:p w14:paraId="69DE4060" w14:textId="77777777" w:rsidR="005F0005" w:rsidRPr="005F0005" w:rsidRDefault="005F0005" w:rsidP="005F0005">
      <w:pPr>
        <w:ind w:left="720"/>
        <w:contextualSpacing/>
        <w:rPr>
          <w:rFonts w:ascii="Times New Roman" w:eastAsiaTheme="minorHAnsi" w:hAnsi="Times New Roman"/>
          <w:color w:val="auto"/>
          <w:sz w:val="24"/>
          <w:szCs w:val="24"/>
          <w:lang w:eastAsia="en-US"/>
        </w:rPr>
      </w:pPr>
    </w:p>
    <w:p w14:paraId="0E58979E"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Disconnect between the Tribal Governance concentration curriculum and the public administration needs of Washington tribal nations </w:t>
      </w:r>
    </w:p>
    <w:p w14:paraId="77BD3BB9" w14:textId="77777777" w:rsidR="005F0005" w:rsidRPr="005F0005" w:rsidRDefault="005F0005" w:rsidP="005F0005">
      <w:pPr>
        <w:rPr>
          <w:rFonts w:ascii="Times New Roman" w:eastAsiaTheme="minorHAnsi" w:hAnsi="Times New Roman"/>
          <w:color w:val="auto"/>
          <w:sz w:val="24"/>
          <w:szCs w:val="24"/>
          <w:lang w:eastAsia="en-US"/>
        </w:rPr>
      </w:pPr>
    </w:p>
    <w:p w14:paraId="31A9124F"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Student frustration with absence of electives for students pursuing a Tribal Governance concentration </w:t>
      </w:r>
    </w:p>
    <w:p w14:paraId="3E301BF8" w14:textId="77777777" w:rsidR="005F0005" w:rsidRPr="005F0005" w:rsidRDefault="005F0005" w:rsidP="005F0005">
      <w:pPr>
        <w:ind w:left="720"/>
        <w:contextualSpacing/>
        <w:rPr>
          <w:rFonts w:ascii="Times New Roman" w:eastAsiaTheme="minorHAnsi" w:hAnsi="Times New Roman"/>
          <w:color w:val="auto"/>
          <w:sz w:val="24"/>
          <w:szCs w:val="24"/>
          <w:lang w:eastAsia="en-US"/>
        </w:rPr>
      </w:pPr>
    </w:p>
    <w:p w14:paraId="56ADC692"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Siloing of students by cohort and concentration</w:t>
      </w:r>
    </w:p>
    <w:p w14:paraId="63A7A1D5" w14:textId="77777777" w:rsidR="005F0005" w:rsidRPr="005F0005" w:rsidRDefault="005F0005" w:rsidP="005F0005">
      <w:pPr>
        <w:rPr>
          <w:rFonts w:ascii="Times New Roman" w:eastAsiaTheme="minorHAnsi" w:hAnsi="Times New Roman"/>
          <w:color w:val="auto"/>
          <w:sz w:val="24"/>
          <w:szCs w:val="24"/>
          <w:lang w:eastAsia="en-US"/>
        </w:rPr>
      </w:pPr>
    </w:p>
    <w:p w14:paraId="30F85D91"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Addressing high demand particular subject matter, including nonprofit management</w:t>
      </w:r>
    </w:p>
    <w:p w14:paraId="432A60D0" w14:textId="77777777" w:rsidR="005F0005" w:rsidRPr="005F0005" w:rsidRDefault="005F0005" w:rsidP="005F0005">
      <w:pPr>
        <w:rPr>
          <w:rFonts w:ascii="Times New Roman" w:eastAsiaTheme="minorHAnsi" w:hAnsi="Times New Roman"/>
          <w:color w:val="auto"/>
          <w:sz w:val="24"/>
          <w:szCs w:val="24"/>
          <w:lang w:eastAsia="en-US"/>
        </w:rPr>
      </w:pPr>
    </w:p>
    <w:p w14:paraId="4BD0DCEF"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Declining MPA program enrollment </w:t>
      </w:r>
    </w:p>
    <w:p w14:paraId="26B8A0B5" w14:textId="77777777" w:rsidR="005F0005" w:rsidRPr="005F0005" w:rsidRDefault="005F0005" w:rsidP="005F0005">
      <w:pPr>
        <w:ind w:left="720"/>
        <w:contextualSpacing/>
        <w:rPr>
          <w:rFonts w:ascii="Times New Roman" w:eastAsiaTheme="minorHAnsi" w:hAnsi="Times New Roman"/>
          <w:color w:val="auto"/>
          <w:sz w:val="24"/>
          <w:szCs w:val="24"/>
          <w:lang w:eastAsia="en-US"/>
        </w:rPr>
      </w:pPr>
    </w:p>
    <w:p w14:paraId="13F9F81A"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High expected growth over the next decade in professional masters programs nationally</w:t>
      </w:r>
    </w:p>
    <w:p w14:paraId="77AFC7B2" w14:textId="77777777" w:rsidR="005F0005" w:rsidRPr="005F0005" w:rsidRDefault="005F0005" w:rsidP="005F0005">
      <w:pPr>
        <w:ind w:left="720"/>
        <w:contextualSpacing/>
        <w:rPr>
          <w:rFonts w:ascii="Times New Roman" w:eastAsiaTheme="minorHAnsi" w:hAnsi="Times New Roman"/>
          <w:color w:val="auto"/>
          <w:sz w:val="24"/>
          <w:szCs w:val="24"/>
          <w:lang w:eastAsia="en-US"/>
        </w:rPr>
      </w:pPr>
    </w:p>
    <w:p w14:paraId="2D8CF818" w14:textId="77777777" w:rsidR="005F0005" w:rsidRPr="005F0005" w:rsidRDefault="005F0005" w:rsidP="005F0005">
      <w:pPr>
        <w:numPr>
          <w:ilvl w:val="0"/>
          <w:numId w:val="33"/>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High demand for programs that support flexible course delivery and stackable credentials</w:t>
      </w:r>
    </w:p>
    <w:p w14:paraId="14167116" w14:textId="77777777" w:rsidR="005F0005" w:rsidRPr="005F0005" w:rsidRDefault="005F0005" w:rsidP="005F0005">
      <w:pPr>
        <w:rPr>
          <w:rFonts w:ascii="Times New Roman" w:eastAsiaTheme="minorHAnsi" w:hAnsi="Times New Roman"/>
          <w:color w:val="auto"/>
          <w:sz w:val="24"/>
          <w:szCs w:val="24"/>
          <w:lang w:eastAsia="en-US"/>
        </w:rPr>
      </w:pPr>
    </w:p>
    <w:p w14:paraId="3BFD0D98" w14:textId="77777777" w:rsidR="005F0005" w:rsidRPr="005F0005" w:rsidRDefault="005F0005" w:rsidP="005F0005">
      <w:pPr>
        <w:rPr>
          <w:rFonts w:ascii="Times New Roman" w:eastAsiaTheme="minorHAnsi" w:hAnsi="Times New Roman"/>
          <w:color w:val="auto"/>
          <w:sz w:val="24"/>
          <w:szCs w:val="24"/>
          <w:lang w:eastAsia="en-US"/>
        </w:rPr>
      </w:pPr>
    </w:p>
    <w:p w14:paraId="75FF4753"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After multiple years of reviewing and discussing layered considerations, in November 2019, the MPA faculty and staff began a series of curriculum re-design sessions facilitated by Michael Fraidenburg of the Thurston County Dispute Resolution Center. This process identified shared goals a re-designed curriculum should achieve. The possible goals voiced by faculty and staff included (in order of priority):</w:t>
      </w:r>
    </w:p>
    <w:p w14:paraId="5D602373" w14:textId="77777777" w:rsidR="005F0005" w:rsidRPr="005F0005" w:rsidRDefault="005F0005" w:rsidP="005F0005">
      <w:pPr>
        <w:rPr>
          <w:rFonts w:ascii="Times New Roman" w:eastAsiaTheme="minorHAnsi" w:hAnsi="Times New Roman"/>
          <w:color w:val="auto"/>
          <w:sz w:val="24"/>
          <w:szCs w:val="24"/>
          <w:lang w:eastAsia="en-US"/>
        </w:rPr>
      </w:pPr>
    </w:p>
    <w:p w14:paraId="4C3CECFC"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Improving student-centeredness</w:t>
      </w:r>
    </w:p>
    <w:p w14:paraId="585C6333"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Promoting equity</w:t>
      </w:r>
    </w:p>
    <w:p w14:paraId="6B568BB1"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Improving consistency in core curriculum across years</w:t>
      </w:r>
    </w:p>
    <w:p w14:paraId="723A0247"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Streamlining concentrations</w:t>
      </w:r>
    </w:p>
    <w:p w14:paraId="36765D19"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Addressing faculty CBA requirements </w:t>
      </w:r>
    </w:p>
    <w:p w14:paraId="75DE52EF"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Improving curriculum and program planning</w:t>
      </w:r>
    </w:p>
    <w:p w14:paraId="6D208645"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Strengthening community relationships</w:t>
      </w:r>
    </w:p>
    <w:p w14:paraId="13CBF131" w14:textId="77777777" w:rsidR="005F0005" w:rsidRPr="005F0005" w:rsidRDefault="005F0005" w:rsidP="005F0005">
      <w:pPr>
        <w:numPr>
          <w:ilvl w:val="0"/>
          <w:numId w:val="34"/>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Improving recruitment and retention</w:t>
      </w:r>
    </w:p>
    <w:p w14:paraId="11F09C7A" w14:textId="77777777" w:rsidR="005F0005" w:rsidRPr="005F0005" w:rsidRDefault="005F0005" w:rsidP="005F0005">
      <w:pPr>
        <w:rPr>
          <w:rFonts w:ascii="Times New Roman" w:eastAsiaTheme="minorHAnsi" w:hAnsi="Times New Roman"/>
          <w:color w:val="auto"/>
          <w:sz w:val="24"/>
          <w:szCs w:val="24"/>
          <w:lang w:eastAsia="en-US"/>
        </w:rPr>
      </w:pPr>
    </w:p>
    <w:p w14:paraId="56AFA639" w14:textId="77777777" w:rsidR="005F0005" w:rsidRPr="005F0005" w:rsidRDefault="005F0005" w:rsidP="005F0005">
      <w:pPr>
        <w:rPr>
          <w:rFonts w:ascii="Times New Roman" w:eastAsiaTheme="minorHAnsi" w:hAnsi="Times New Roman"/>
          <w:color w:val="auto"/>
          <w:sz w:val="24"/>
          <w:szCs w:val="24"/>
          <w:lang w:eastAsia="en-US"/>
        </w:rPr>
      </w:pPr>
    </w:p>
    <w:p w14:paraId="2B88B180"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Working collaboratively, MPA faculty and staff developed alternative ways of envisioning the MPA curriculum around these goals, reaching consensus on the changes in this decision package. We anticipate the following outcomes from adopting these changes:</w:t>
      </w:r>
    </w:p>
    <w:p w14:paraId="360E3858" w14:textId="77777777" w:rsidR="005F0005" w:rsidRPr="005F0005" w:rsidRDefault="005F0005" w:rsidP="005F0005">
      <w:pPr>
        <w:rPr>
          <w:rFonts w:ascii="Times New Roman" w:eastAsiaTheme="minorHAnsi" w:hAnsi="Times New Roman"/>
          <w:color w:val="auto"/>
          <w:sz w:val="24"/>
          <w:szCs w:val="24"/>
          <w:lang w:eastAsia="en-US"/>
        </w:rPr>
      </w:pPr>
    </w:p>
    <w:p w14:paraId="5A944E53" w14:textId="77777777" w:rsidR="005F0005" w:rsidRPr="005F0005" w:rsidRDefault="005F0005" w:rsidP="005F0005">
      <w:pPr>
        <w:numPr>
          <w:ilvl w:val="0"/>
          <w:numId w:val="35"/>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Improved student-centeredness with a curriculum that increases flexibility and range of options for students to complete the program</w:t>
      </w:r>
    </w:p>
    <w:p w14:paraId="068DB580" w14:textId="77777777" w:rsidR="005F0005" w:rsidRPr="005F0005" w:rsidRDefault="005F0005" w:rsidP="005F0005">
      <w:pPr>
        <w:numPr>
          <w:ilvl w:val="0"/>
          <w:numId w:val="35"/>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Improved equity by removing barriers to entry for some students and through more equitable student experience across concentrations</w:t>
      </w:r>
    </w:p>
    <w:p w14:paraId="05789FD5" w14:textId="77777777" w:rsidR="005F0005" w:rsidRPr="005F0005" w:rsidRDefault="005F0005" w:rsidP="005F0005">
      <w:pPr>
        <w:numPr>
          <w:ilvl w:val="0"/>
          <w:numId w:val="35"/>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lastRenderedPageBreak/>
        <w:t>Greater consistency in MPA core curriculum across years through adoption of four learning lenses that will define core learning objectives</w:t>
      </w:r>
    </w:p>
    <w:p w14:paraId="7F9867EC" w14:textId="77777777" w:rsidR="005F0005" w:rsidRPr="005F0005" w:rsidRDefault="005F0005" w:rsidP="005F0005">
      <w:pPr>
        <w:numPr>
          <w:ilvl w:val="0"/>
          <w:numId w:val="35"/>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Improved enrollment through a cohort system and curriculum that offers more convenience for a greater range of students, including improved part-time options and a weekend-intensive option</w:t>
      </w:r>
    </w:p>
    <w:p w14:paraId="14D7B5C2" w14:textId="77777777" w:rsidR="005F0005" w:rsidRPr="005F0005" w:rsidRDefault="005F0005" w:rsidP="005F0005">
      <w:pPr>
        <w:rPr>
          <w:rFonts w:ascii="Times New Roman" w:eastAsiaTheme="minorHAnsi" w:hAnsi="Times New Roman"/>
          <w:color w:val="auto"/>
          <w:sz w:val="24"/>
          <w:szCs w:val="24"/>
          <w:lang w:eastAsia="en-US"/>
        </w:rPr>
      </w:pPr>
    </w:p>
    <w:p w14:paraId="3264920B" w14:textId="77777777" w:rsidR="005F0005" w:rsidRPr="005F0005" w:rsidRDefault="005F0005" w:rsidP="005F0005">
      <w:pPr>
        <w:rPr>
          <w:rFonts w:ascii="Times New Roman" w:eastAsiaTheme="minorHAnsi" w:hAnsi="Times New Roman"/>
          <w:color w:val="auto"/>
          <w:sz w:val="24"/>
          <w:szCs w:val="24"/>
          <w:lang w:eastAsia="en-US"/>
        </w:rPr>
      </w:pPr>
    </w:p>
    <w:p w14:paraId="57437D2C" w14:textId="77777777" w:rsidR="005F0005" w:rsidRPr="005F0005" w:rsidRDefault="005F0005" w:rsidP="005F0005">
      <w:pPr>
        <w:rPr>
          <w:rFonts w:ascii="Times New Roman" w:eastAsiaTheme="minorHAnsi" w:hAnsi="Times New Roman"/>
          <w:b/>
          <w:color w:val="auto"/>
          <w:sz w:val="24"/>
          <w:szCs w:val="24"/>
          <w:lang w:eastAsia="en-US"/>
        </w:rPr>
      </w:pPr>
    </w:p>
    <w:p w14:paraId="5325DE45" w14:textId="77777777" w:rsidR="005F0005" w:rsidRPr="005F0005" w:rsidRDefault="005F0005" w:rsidP="005F0005">
      <w:pPr>
        <w:rPr>
          <w:rFonts w:ascii="Times New Roman" w:eastAsiaTheme="minorHAnsi" w:hAnsi="Times New Roman"/>
          <w:b/>
          <w:color w:val="auto"/>
          <w:sz w:val="24"/>
          <w:szCs w:val="24"/>
          <w:lang w:eastAsia="en-US"/>
        </w:rPr>
      </w:pPr>
    </w:p>
    <w:p w14:paraId="6ECCDC5F" w14:textId="77777777" w:rsidR="005F0005" w:rsidRPr="005F0005" w:rsidRDefault="005F0005" w:rsidP="005F0005">
      <w:pPr>
        <w:rPr>
          <w:rFonts w:ascii="Times New Roman" w:eastAsiaTheme="minorHAnsi" w:hAnsi="Times New Roman"/>
          <w:b/>
          <w:color w:val="auto"/>
          <w:sz w:val="24"/>
          <w:szCs w:val="24"/>
          <w:lang w:eastAsia="en-US"/>
        </w:rPr>
      </w:pPr>
    </w:p>
    <w:p w14:paraId="442F2A83"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DETAILED CHANGES TO MPA CURRICULUM AY 2021-2022</w:t>
      </w:r>
    </w:p>
    <w:p w14:paraId="607EC31F" w14:textId="77777777" w:rsidR="005F0005" w:rsidRPr="005F0005" w:rsidRDefault="005F0005" w:rsidP="005F0005">
      <w:pPr>
        <w:rPr>
          <w:rFonts w:ascii="Times New Roman" w:eastAsiaTheme="minorHAnsi" w:hAnsi="Times New Roman"/>
          <w:color w:val="auto"/>
          <w:sz w:val="24"/>
          <w:szCs w:val="24"/>
          <w:lang w:eastAsia="en-US"/>
        </w:rPr>
      </w:pPr>
    </w:p>
    <w:p w14:paraId="7A106CCD"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1) Termination of statistics pre-requisite to admissions requirements</w:t>
      </w:r>
    </w:p>
    <w:p w14:paraId="632AEDEE" w14:textId="77777777" w:rsidR="005F0005" w:rsidRPr="005F0005" w:rsidRDefault="005F0005" w:rsidP="005F0005">
      <w:pPr>
        <w:rPr>
          <w:rFonts w:ascii="Times New Roman" w:eastAsiaTheme="minorHAnsi" w:hAnsi="Times New Roman"/>
          <w:color w:val="auto"/>
          <w:sz w:val="24"/>
          <w:szCs w:val="24"/>
          <w:lang w:eastAsia="en-US"/>
        </w:rPr>
      </w:pPr>
    </w:p>
    <w:p w14:paraId="00F6AE3D"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Beginning with the admissions cycle for Fall 2021, MPA applicants will no longer be required to complete a statistics course prior to beginning the MPA program.</w:t>
      </w:r>
    </w:p>
    <w:p w14:paraId="1287076C" w14:textId="77777777" w:rsidR="005F0005" w:rsidRPr="005F0005" w:rsidRDefault="005F0005" w:rsidP="005F0005">
      <w:pPr>
        <w:rPr>
          <w:rFonts w:ascii="Times New Roman" w:eastAsiaTheme="minorHAnsi" w:hAnsi="Times New Roman"/>
          <w:color w:val="auto"/>
          <w:sz w:val="24"/>
          <w:szCs w:val="24"/>
          <w:lang w:eastAsia="en-US"/>
        </w:rPr>
      </w:pPr>
    </w:p>
    <w:p w14:paraId="6134629F"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This change promotes equity and eases entry for first-generation and students of color, who are less likely to have taken a statistics pre-requisite course and who have less means to pay for the course. Moreover, faculty report that it has had very little impact on student preparation for the second year core sequence. The revised curriculum model creates a year-long “Analytical Techniques for Public Service” offering instead of just two quarters. This will allow faculty the time to effectively build statistics into the core curriculum. </w:t>
      </w:r>
    </w:p>
    <w:p w14:paraId="31B84F6F" w14:textId="77777777" w:rsidR="005F0005" w:rsidRPr="005F0005" w:rsidRDefault="005F0005" w:rsidP="005F0005">
      <w:pPr>
        <w:rPr>
          <w:rFonts w:ascii="Times New Roman" w:eastAsiaTheme="minorHAnsi" w:hAnsi="Times New Roman"/>
          <w:color w:val="auto"/>
          <w:sz w:val="24"/>
          <w:szCs w:val="24"/>
          <w:lang w:eastAsia="en-US"/>
        </w:rPr>
      </w:pPr>
    </w:p>
    <w:p w14:paraId="06CC1312" w14:textId="77777777" w:rsidR="005F0005" w:rsidRPr="005F0005" w:rsidRDefault="005F0005" w:rsidP="005F0005">
      <w:pPr>
        <w:rPr>
          <w:rFonts w:ascii="Times New Roman" w:eastAsiaTheme="minorHAnsi" w:hAnsi="Times New Roman"/>
          <w:b/>
          <w:color w:val="auto"/>
          <w:sz w:val="24"/>
          <w:szCs w:val="24"/>
          <w:lang w:eastAsia="en-US"/>
        </w:rPr>
      </w:pPr>
    </w:p>
    <w:p w14:paraId="5E04406D"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2) MPA Learning Communities: Cohorts</w:t>
      </w:r>
    </w:p>
    <w:p w14:paraId="642879DA" w14:textId="77777777" w:rsidR="005F0005" w:rsidRPr="005F0005" w:rsidRDefault="005F0005" w:rsidP="005F0005">
      <w:pPr>
        <w:rPr>
          <w:rFonts w:ascii="Times New Roman" w:eastAsiaTheme="minorHAnsi" w:hAnsi="Times New Roman"/>
          <w:color w:val="auto"/>
          <w:sz w:val="24"/>
          <w:szCs w:val="24"/>
          <w:lang w:eastAsia="en-US"/>
        </w:rPr>
      </w:pPr>
    </w:p>
    <w:p w14:paraId="7FD77B61"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Beginning with the admissions cycle for Fall 2021, MPA applicants will select one of three core program learning community options when applying for the MPA program:</w:t>
      </w:r>
    </w:p>
    <w:p w14:paraId="08A53A9E" w14:textId="77777777" w:rsidR="005F0005" w:rsidRPr="005F0005" w:rsidRDefault="005F0005" w:rsidP="005F0005">
      <w:pPr>
        <w:rPr>
          <w:rFonts w:ascii="Times New Roman" w:eastAsiaTheme="minorHAnsi" w:hAnsi="Times New Roman"/>
          <w:color w:val="auto"/>
          <w:sz w:val="24"/>
          <w:szCs w:val="24"/>
          <w:lang w:eastAsia="en-US"/>
        </w:rPr>
      </w:pPr>
    </w:p>
    <w:p w14:paraId="45C674F9" w14:textId="77777777" w:rsidR="005F0005" w:rsidRPr="005F0005" w:rsidRDefault="005F0005" w:rsidP="005F0005">
      <w:pPr>
        <w:numPr>
          <w:ilvl w:val="0"/>
          <w:numId w:val="37"/>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Olympia evenings --- Core courses held at Olympia campus on 1-2 weeknights each week of the quarter.</w:t>
      </w:r>
    </w:p>
    <w:p w14:paraId="6982496C" w14:textId="77777777" w:rsidR="005F0005" w:rsidRPr="005F0005" w:rsidRDefault="005F0005" w:rsidP="005F0005">
      <w:pPr>
        <w:ind w:left="1080"/>
        <w:contextualSpacing/>
        <w:rPr>
          <w:rFonts w:ascii="Times New Roman" w:eastAsiaTheme="minorHAnsi" w:hAnsi="Times New Roman"/>
          <w:color w:val="auto"/>
          <w:sz w:val="24"/>
          <w:szCs w:val="24"/>
          <w:lang w:eastAsia="en-US"/>
        </w:rPr>
      </w:pPr>
    </w:p>
    <w:p w14:paraId="4647B3B0" w14:textId="77777777" w:rsidR="005F0005" w:rsidRPr="005F0005" w:rsidRDefault="005F0005" w:rsidP="005F0005">
      <w:pPr>
        <w:numPr>
          <w:ilvl w:val="0"/>
          <w:numId w:val="37"/>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Tacoma evenings --- Core courses held at Tacoma site on 1-2 weeknights each week of the quarter.</w:t>
      </w:r>
    </w:p>
    <w:p w14:paraId="47C53FA7" w14:textId="77777777" w:rsidR="005F0005" w:rsidRPr="005F0005" w:rsidRDefault="005F0005" w:rsidP="005F0005">
      <w:pPr>
        <w:rPr>
          <w:rFonts w:ascii="Times New Roman" w:eastAsiaTheme="minorHAnsi" w:hAnsi="Times New Roman"/>
          <w:color w:val="auto"/>
          <w:sz w:val="24"/>
          <w:szCs w:val="24"/>
          <w:lang w:eastAsia="en-US"/>
        </w:rPr>
      </w:pPr>
    </w:p>
    <w:p w14:paraId="7527C5E7" w14:textId="77777777" w:rsidR="005F0005" w:rsidRPr="005F0005" w:rsidRDefault="005F0005" w:rsidP="005F0005">
      <w:pPr>
        <w:ind w:left="720"/>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3) Weekend intensive --- Core courses held at Olympia campus Friday-Sunday for 2-3 weekends each quarter.</w:t>
      </w:r>
    </w:p>
    <w:p w14:paraId="11E01FC3" w14:textId="77777777" w:rsidR="005F0005" w:rsidRPr="005F0005" w:rsidRDefault="005F0005" w:rsidP="005F0005">
      <w:pPr>
        <w:rPr>
          <w:rFonts w:ascii="Times New Roman" w:eastAsiaTheme="minorHAnsi" w:hAnsi="Times New Roman"/>
          <w:color w:val="auto"/>
          <w:sz w:val="24"/>
          <w:szCs w:val="24"/>
          <w:lang w:eastAsia="en-US"/>
        </w:rPr>
      </w:pPr>
    </w:p>
    <w:p w14:paraId="5E2F4498"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MPA students will continue to take the core courses associated with his/her learning community, and may take concentration and elective courses at any location. Students may change core program learning community (cohorts), space permitting and will require Director approval.</w:t>
      </w:r>
    </w:p>
    <w:p w14:paraId="5667635E" w14:textId="77777777" w:rsidR="005F0005" w:rsidRPr="005F0005" w:rsidRDefault="005F0005" w:rsidP="005F0005">
      <w:pPr>
        <w:rPr>
          <w:rFonts w:ascii="Times New Roman" w:eastAsiaTheme="minorHAnsi" w:hAnsi="Times New Roman"/>
          <w:color w:val="auto"/>
          <w:sz w:val="24"/>
          <w:szCs w:val="24"/>
          <w:lang w:eastAsia="en-US"/>
        </w:rPr>
      </w:pPr>
    </w:p>
    <w:p w14:paraId="575BF96B" w14:textId="77777777" w:rsidR="005F0005" w:rsidRPr="005F0005" w:rsidRDefault="005F0005" w:rsidP="005F0005">
      <w:pPr>
        <w:rPr>
          <w:rFonts w:ascii="Times New Roman" w:eastAsiaTheme="minorHAnsi" w:hAnsi="Times New Roman"/>
          <w:color w:val="auto"/>
          <w:sz w:val="24"/>
          <w:szCs w:val="24"/>
          <w:lang w:eastAsia="en-US"/>
        </w:rPr>
      </w:pPr>
    </w:p>
    <w:p w14:paraId="7E7C69C4"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3) MPA Degree Requirements</w:t>
      </w:r>
    </w:p>
    <w:p w14:paraId="05F273A0" w14:textId="77777777" w:rsidR="005F0005" w:rsidRPr="005F0005" w:rsidRDefault="005F0005" w:rsidP="005F0005">
      <w:pPr>
        <w:rPr>
          <w:rFonts w:ascii="Times New Roman" w:eastAsiaTheme="minorHAnsi" w:hAnsi="Times New Roman"/>
          <w:color w:val="auto"/>
          <w:sz w:val="24"/>
          <w:szCs w:val="24"/>
          <w:lang w:eastAsia="en-US"/>
        </w:rPr>
      </w:pPr>
    </w:p>
    <w:p w14:paraId="414A787F"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lastRenderedPageBreak/>
        <w:t>To earn the MPA, students must complete 60 credits (and may not attempt more than 76 credits), allocated in the following way:</w:t>
      </w:r>
    </w:p>
    <w:p w14:paraId="60FD82E4" w14:textId="77777777" w:rsidR="005F0005" w:rsidRPr="005F0005" w:rsidRDefault="005F0005" w:rsidP="005F0005">
      <w:pPr>
        <w:rPr>
          <w:rFonts w:ascii="Times New Roman" w:eastAsiaTheme="minorHAnsi" w:hAnsi="Times New Roman"/>
          <w:color w:val="auto"/>
          <w:sz w:val="24"/>
          <w:szCs w:val="24"/>
          <w:lang w:eastAsia="en-US"/>
        </w:rPr>
      </w:pPr>
    </w:p>
    <w:p w14:paraId="78934E19" w14:textId="77777777" w:rsidR="005F0005" w:rsidRPr="005F0005" w:rsidRDefault="005F0005" w:rsidP="005F0005">
      <w:pPr>
        <w:rPr>
          <w:rFonts w:ascii="Times New Roman" w:eastAsiaTheme="minorHAnsi" w:hAnsi="Times New Roman"/>
          <w:color w:val="auto"/>
          <w:sz w:val="24"/>
          <w:szCs w:val="24"/>
          <w:lang w:eastAsia="en-US"/>
        </w:rPr>
      </w:pPr>
    </w:p>
    <w:p w14:paraId="46281D27" w14:textId="77777777" w:rsidR="005F0005" w:rsidRPr="005F0005" w:rsidRDefault="005F0005" w:rsidP="005F0005">
      <w:pPr>
        <w:ind w:left="720"/>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i) Core Program (28 credits)</w:t>
      </w:r>
    </w:p>
    <w:p w14:paraId="0BF3359E" w14:textId="77777777" w:rsidR="005F0005" w:rsidRPr="005F0005" w:rsidRDefault="005F0005" w:rsidP="005F0005">
      <w:pPr>
        <w:rPr>
          <w:rFonts w:ascii="Times New Roman" w:eastAsiaTheme="minorHAnsi" w:hAnsi="Times New Roman"/>
          <w:color w:val="auto"/>
          <w:sz w:val="24"/>
          <w:szCs w:val="24"/>
          <w:lang w:eastAsia="en-US"/>
        </w:rPr>
      </w:pPr>
    </w:p>
    <w:p w14:paraId="0C5C96B7"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Students must complete the following core courses:</w:t>
      </w:r>
    </w:p>
    <w:p w14:paraId="570E9351" w14:textId="77777777" w:rsidR="005F0005" w:rsidRPr="005F0005" w:rsidRDefault="005F0005" w:rsidP="005F0005">
      <w:pPr>
        <w:rPr>
          <w:rFonts w:ascii="Times New Roman" w:eastAsiaTheme="minorHAnsi" w:hAnsi="Times New Roman"/>
          <w:color w:val="auto"/>
          <w:sz w:val="24"/>
          <w:szCs w:val="24"/>
          <w:lang w:eastAsia="en-US"/>
        </w:rPr>
      </w:pPr>
    </w:p>
    <w:p w14:paraId="6536640A" w14:textId="77777777" w:rsidR="005F0005" w:rsidRPr="005F0005" w:rsidRDefault="005F0005" w:rsidP="005F0005">
      <w:pPr>
        <w:rPr>
          <w:rFonts w:ascii="Times New Roman" w:eastAsiaTheme="minorHAnsi" w:hAnsi="Times New Roman"/>
          <w:i/>
          <w:color w:val="auto"/>
          <w:sz w:val="24"/>
          <w:szCs w:val="24"/>
          <w:lang w:eastAsia="en-US"/>
        </w:rPr>
      </w:pPr>
    </w:p>
    <w:p w14:paraId="72A8B6C3" w14:textId="77777777" w:rsidR="005F0005" w:rsidRPr="005F0005" w:rsidRDefault="005F0005" w:rsidP="005F0005">
      <w:pPr>
        <w:rPr>
          <w:rFonts w:ascii="Times New Roman" w:eastAsiaTheme="minorHAnsi" w:hAnsi="Times New Roman"/>
          <w:i/>
          <w:color w:val="auto"/>
          <w:sz w:val="24"/>
          <w:szCs w:val="24"/>
          <w:lang w:eastAsia="en-US"/>
        </w:rPr>
      </w:pPr>
    </w:p>
    <w:p w14:paraId="4D783C98" w14:textId="77777777" w:rsidR="005F0005" w:rsidRPr="005F0005" w:rsidRDefault="005F0005" w:rsidP="005F0005">
      <w:pPr>
        <w:rPr>
          <w:rFonts w:ascii="Times New Roman" w:eastAsiaTheme="minorHAnsi" w:hAnsi="Times New Roman"/>
          <w:i/>
          <w:color w:val="auto"/>
          <w:sz w:val="24"/>
          <w:szCs w:val="24"/>
          <w:lang w:eastAsia="en-US"/>
        </w:rPr>
      </w:pPr>
      <w:r w:rsidRPr="005F0005">
        <w:rPr>
          <w:rFonts w:ascii="Times New Roman" w:eastAsiaTheme="minorHAnsi" w:hAnsi="Times New Roman"/>
          <w:i/>
          <w:color w:val="auto"/>
          <w:sz w:val="24"/>
          <w:szCs w:val="24"/>
          <w:lang w:eastAsia="en-US"/>
        </w:rPr>
        <w:t>1</w:t>
      </w:r>
      <w:r w:rsidRPr="005F0005">
        <w:rPr>
          <w:rFonts w:ascii="Times New Roman" w:eastAsiaTheme="minorHAnsi" w:hAnsi="Times New Roman"/>
          <w:i/>
          <w:color w:val="auto"/>
          <w:sz w:val="24"/>
          <w:szCs w:val="24"/>
          <w:vertAlign w:val="superscript"/>
          <w:lang w:eastAsia="en-US"/>
        </w:rPr>
        <w:t>st</w:t>
      </w:r>
      <w:r w:rsidRPr="005F0005">
        <w:rPr>
          <w:rFonts w:ascii="Times New Roman" w:eastAsiaTheme="minorHAnsi" w:hAnsi="Times New Roman"/>
          <w:i/>
          <w:color w:val="auto"/>
          <w:sz w:val="24"/>
          <w:szCs w:val="24"/>
          <w:lang w:eastAsia="en-US"/>
        </w:rPr>
        <w:t xml:space="preserve"> Year Core (12 credits)</w:t>
      </w:r>
    </w:p>
    <w:p w14:paraId="18B96079" w14:textId="77777777" w:rsidR="005F0005" w:rsidRPr="005F0005" w:rsidRDefault="005F0005" w:rsidP="005F0005">
      <w:pPr>
        <w:rPr>
          <w:rFonts w:ascii="Times New Roman" w:eastAsiaTheme="minorHAnsi" w:hAnsi="Times New Roman"/>
          <w:color w:val="auto"/>
          <w:sz w:val="24"/>
          <w:szCs w:val="24"/>
          <w:lang w:eastAsia="en-US"/>
        </w:rPr>
      </w:pPr>
    </w:p>
    <w:p w14:paraId="1AB6BFDA"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Context of Public Administration (4 credits)</w:t>
      </w:r>
    </w:p>
    <w:p w14:paraId="6FEAC304"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Doing Democratic Public Administration (4 credits)</w:t>
      </w:r>
    </w:p>
    <w:p w14:paraId="1C4872D5"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Policy, Finance, and Budgeting for Public Administration (4 credits)</w:t>
      </w:r>
    </w:p>
    <w:p w14:paraId="226A0AF4" w14:textId="77777777" w:rsidR="005F0005" w:rsidRPr="005F0005" w:rsidRDefault="005F0005" w:rsidP="005F0005">
      <w:pPr>
        <w:rPr>
          <w:rFonts w:ascii="Times New Roman" w:eastAsiaTheme="minorHAnsi" w:hAnsi="Times New Roman"/>
          <w:color w:val="auto"/>
          <w:sz w:val="24"/>
          <w:szCs w:val="24"/>
          <w:lang w:eastAsia="en-US"/>
        </w:rPr>
      </w:pPr>
    </w:p>
    <w:p w14:paraId="5933079C" w14:textId="77777777" w:rsidR="005F0005" w:rsidRPr="005F0005" w:rsidRDefault="005F0005" w:rsidP="005F0005">
      <w:pPr>
        <w:rPr>
          <w:rFonts w:ascii="Times New Roman" w:eastAsiaTheme="minorHAnsi" w:hAnsi="Times New Roman"/>
          <w:i/>
          <w:color w:val="auto"/>
          <w:sz w:val="24"/>
          <w:szCs w:val="24"/>
          <w:lang w:eastAsia="en-US"/>
        </w:rPr>
      </w:pPr>
      <w:r w:rsidRPr="005F0005">
        <w:rPr>
          <w:rFonts w:ascii="Times New Roman" w:eastAsiaTheme="minorHAnsi" w:hAnsi="Times New Roman"/>
          <w:i/>
          <w:color w:val="auto"/>
          <w:sz w:val="24"/>
          <w:szCs w:val="24"/>
          <w:lang w:eastAsia="en-US"/>
        </w:rPr>
        <w:t>2</w:t>
      </w:r>
      <w:r w:rsidRPr="005F0005">
        <w:rPr>
          <w:rFonts w:ascii="Times New Roman" w:eastAsiaTheme="minorHAnsi" w:hAnsi="Times New Roman"/>
          <w:i/>
          <w:color w:val="auto"/>
          <w:sz w:val="24"/>
          <w:szCs w:val="24"/>
          <w:vertAlign w:val="superscript"/>
          <w:lang w:eastAsia="en-US"/>
        </w:rPr>
        <w:t>nd</w:t>
      </w:r>
      <w:r w:rsidRPr="005F0005">
        <w:rPr>
          <w:rFonts w:ascii="Times New Roman" w:eastAsiaTheme="minorHAnsi" w:hAnsi="Times New Roman"/>
          <w:i/>
          <w:color w:val="auto"/>
          <w:sz w:val="24"/>
          <w:szCs w:val="24"/>
          <w:lang w:eastAsia="en-US"/>
        </w:rPr>
        <w:t xml:space="preserve"> Year Core (12 credits)</w:t>
      </w:r>
    </w:p>
    <w:p w14:paraId="15B7C4C4" w14:textId="77777777" w:rsidR="005F0005" w:rsidRPr="005F0005" w:rsidRDefault="005F0005" w:rsidP="005F0005">
      <w:pPr>
        <w:rPr>
          <w:rFonts w:ascii="Times New Roman" w:eastAsiaTheme="minorHAnsi" w:hAnsi="Times New Roman"/>
          <w:color w:val="auto"/>
          <w:sz w:val="24"/>
          <w:szCs w:val="24"/>
          <w:lang w:eastAsia="en-US"/>
        </w:rPr>
      </w:pPr>
    </w:p>
    <w:p w14:paraId="4604458E"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Analytical Techniques for Public Service I (4 credits)</w:t>
      </w:r>
    </w:p>
    <w:p w14:paraId="2CED34D3"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Analytical Techniques for Public Service II (4 credits)</w:t>
      </w:r>
    </w:p>
    <w:p w14:paraId="23104D22"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Analytical Techniques for Public Service III (4 credits)</w:t>
      </w:r>
    </w:p>
    <w:p w14:paraId="436BD9F5" w14:textId="77777777" w:rsidR="005F0005" w:rsidRPr="005F0005" w:rsidRDefault="005F0005" w:rsidP="005F0005">
      <w:pPr>
        <w:rPr>
          <w:rFonts w:ascii="Times New Roman" w:eastAsiaTheme="minorHAnsi" w:hAnsi="Times New Roman"/>
          <w:color w:val="auto"/>
          <w:sz w:val="24"/>
          <w:szCs w:val="24"/>
          <w:lang w:eastAsia="en-US"/>
        </w:rPr>
      </w:pPr>
    </w:p>
    <w:p w14:paraId="1B956638" w14:textId="77777777" w:rsidR="005F0005" w:rsidRPr="005F0005" w:rsidRDefault="005F0005" w:rsidP="005F0005">
      <w:pPr>
        <w:rPr>
          <w:rFonts w:ascii="Times New Roman" w:eastAsiaTheme="minorHAnsi" w:hAnsi="Times New Roman"/>
          <w:i/>
          <w:color w:val="auto"/>
          <w:sz w:val="24"/>
          <w:szCs w:val="24"/>
          <w:lang w:eastAsia="en-US"/>
        </w:rPr>
      </w:pPr>
      <w:r w:rsidRPr="005F0005">
        <w:rPr>
          <w:rFonts w:ascii="Times New Roman" w:eastAsiaTheme="minorHAnsi" w:hAnsi="Times New Roman"/>
          <w:i/>
          <w:color w:val="auto"/>
          <w:sz w:val="24"/>
          <w:szCs w:val="24"/>
          <w:lang w:eastAsia="en-US"/>
        </w:rPr>
        <w:t>MPA Capstone (4 credits)</w:t>
      </w:r>
    </w:p>
    <w:p w14:paraId="4D7F407E" w14:textId="77777777" w:rsidR="005F0005" w:rsidRPr="005F0005" w:rsidRDefault="005F0005" w:rsidP="005F0005">
      <w:pPr>
        <w:rPr>
          <w:rFonts w:ascii="Times New Roman" w:eastAsiaTheme="minorHAnsi" w:hAnsi="Times New Roman"/>
          <w:i/>
          <w:color w:val="auto"/>
          <w:sz w:val="24"/>
          <w:szCs w:val="24"/>
          <w:lang w:eastAsia="en-US"/>
        </w:rPr>
      </w:pPr>
    </w:p>
    <w:p w14:paraId="25DA0CEC" w14:textId="77777777" w:rsidR="005F0005" w:rsidRPr="005F0005" w:rsidRDefault="005F0005" w:rsidP="005F0005">
      <w:pPr>
        <w:rPr>
          <w:rFonts w:ascii="Times New Roman" w:eastAsiaTheme="minorHAnsi" w:hAnsi="Times New Roman"/>
          <w:i/>
          <w:color w:val="auto"/>
          <w:sz w:val="24"/>
          <w:szCs w:val="24"/>
          <w:lang w:eastAsia="en-US"/>
        </w:rPr>
      </w:pPr>
    </w:p>
    <w:p w14:paraId="392E89D5" w14:textId="77777777" w:rsidR="005F0005" w:rsidRPr="005F0005" w:rsidRDefault="005F0005" w:rsidP="005F0005">
      <w:pPr>
        <w:ind w:firstLine="720"/>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ii) Concentration (12 credits)</w:t>
      </w:r>
    </w:p>
    <w:p w14:paraId="496A90E3" w14:textId="77777777" w:rsidR="005F0005" w:rsidRPr="005F0005" w:rsidRDefault="005F0005" w:rsidP="005F0005">
      <w:pPr>
        <w:rPr>
          <w:rFonts w:ascii="Times New Roman" w:eastAsiaTheme="minorHAnsi" w:hAnsi="Times New Roman"/>
          <w:color w:val="auto"/>
          <w:sz w:val="24"/>
          <w:szCs w:val="24"/>
          <w:lang w:eastAsia="en-US"/>
        </w:rPr>
      </w:pPr>
    </w:p>
    <w:p w14:paraId="18452C82"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Students must complete 12 credits in at least one of three concentrations</w:t>
      </w:r>
      <w:r w:rsidRPr="005F0005">
        <w:rPr>
          <w:rFonts w:ascii="Times New Roman" w:eastAsiaTheme="minorHAnsi" w:hAnsi="Times New Roman"/>
          <w:color w:val="auto"/>
          <w:sz w:val="24"/>
          <w:szCs w:val="24"/>
          <w:vertAlign w:val="superscript"/>
          <w:lang w:eastAsia="en-US"/>
        </w:rPr>
        <w:footnoteReference w:id="1"/>
      </w:r>
    </w:p>
    <w:p w14:paraId="30C93B1D" w14:textId="77777777" w:rsidR="005F0005" w:rsidRPr="005F0005" w:rsidRDefault="005F0005" w:rsidP="005F0005">
      <w:pPr>
        <w:rPr>
          <w:rFonts w:ascii="Times New Roman" w:eastAsiaTheme="minorHAnsi" w:hAnsi="Times New Roman"/>
          <w:color w:val="auto"/>
          <w:sz w:val="24"/>
          <w:szCs w:val="24"/>
          <w:lang w:eastAsia="en-US"/>
        </w:rPr>
      </w:pPr>
    </w:p>
    <w:p w14:paraId="32ED90BE" w14:textId="77777777" w:rsidR="005F0005" w:rsidRPr="005F0005" w:rsidRDefault="005F0005" w:rsidP="005F0005">
      <w:pPr>
        <w:numPr>
          <w:ilvl w:val="0"/>
          <w:numId w:val="32"/>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Public and Nonprofit Administration </w:t>
      </w:r>
    </w:p>
    <w:p w14:paraId="5ED68E41" w14:textId="77777777" w:rsidR="005F0005" w:rsidRPr="005F0005" w:rsidRDefault="005F0005" w:rsidP="005F0005">
      <w:pPr>
        <w:numPr>
          <w:ilvl w:val="0"/>
          <w:numId w:val="32"/>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Public Policy</w:t>
      </w:r>
    </w:p>
    <w:p w14:paraId="681C4D85" w14:textId="77777777" w:rsidR="005F0005" w:rsidRPr="005F0005" w:rsidRDefault="005F0005" w:rsidP="005F0005">
      <w:pPr>
        <w:numPr>
          <w:ilvl w:val="0"/>
          <w:numId w:val="32"/>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Tribal Governance</w:t>
      </w:r>
    </w:p>
    <w:p w14:paraId="20D6D577" w14:textId="77777777" w:rsidR="005F0005" w:rsidRPr="005F0005" w:rsidRDefault="005F0005" w:rsidP="005F0005">
      <w:pPr>
        <w:ind w:left="1080"/>
        <w:contextualSpacing/>
        <w:rPr>
          <w:rFonts w:ascii="Times New Roman" w:eastAsiaTheme="minorHAnsi" w:hAnsi="Times New Roman"/>
          <w:color w:val="auto"/>
          <w:sz w:val="24"/>
          <w:szCs w:val="24"/>
          <w:lang w:eastAsia="en-US"/>
        </w:rPr>
      </w:pPr>
    </w:p>
    <w:p w14:paraId="6CC7EA27" w14:textId="77777777" w:rsidR="005F0005" w:rsidRPr="005F0005" w:rsidRDefault="005F0005" w:rsidP="005F0005">
      <w:pPr>
        <w:rPr>
          <w:rFonts w:ascii="Times New Roman" w:eastAsiaTheme="minorHAnsi" w:hAnsi="Times New Roman"/>
          <w:color w:val="auto"/>
          <w:sz w:val="24"/>
          <w:szCs w:val="24"/>
          <w:lang w:eastAsia="en-US"/>
        </w:rPr>
      </w:pPr>
    </w:p>
    <w:p w14:paraId="4C6ED5A6" w14:textId="77777777" w:rsidR="005F0005" w:rsidRPr="005F0005" w:rsidRDefault="005F0005" w:rsidP="005F0005">
      <w:pPr>
        <w:ind w:firstLine="720"/>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iii) Electives (20 credits)</w:t>
      </w:r>
    </w:p>
    <w:p w14:paraId="53072855" w14:textId="77777777" w:rsidR="005F0005" w:rsidRPr="005F0005" w:rsidRDefault="005F0005" w:rsidP="005F0005">
      <w:pPr>
        <w:rPr>
          <w:rFonts w:ascii="Times New Roman" w:eastAsiaTheme="minorHAnsi" w:hAnsi="Times New Roman"/>
          <w:color w:val="auto"/>
          <w:sz w:val="24"/>
          <w:szCs w:val="24"/>
          <w:lang w:eastAsia="en-US"/>
        </w:rPr>
      </w:pPr>
    </w:p>
    <w:p w14:paraId="54A3155A"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Students must complete 20 credits in MPA elective courses or other approved TESC graduate courses. This may be accomplished in part through Individual Learning Contracts or Internships. </w:t>
      </w:r>
    </w:p>
    <w:p w14:paraId="0F76FAAF" w14:textId="77777777" w:rsidR="005F0005" w:rsidRPr="005F0005" w:rsidRDefault="005F0005" w:rsidP="005F0005">
      <w:pPr>
        <w:rPr>
          <w:rFonts w:ascii="Times New Roman" w:eastAsiaTheme="minorHAnsi" w:hAnsi="Times New Roman"/>
          <w:color w:val="auto"/>
          <w:sz w:val="24"/>
          <w:szCs w:val="24"/>
          <w:lang w:eastAsia="en-US"/>
        </w:rPr>
      </w:pPr>
    </w:p>
    <w:p w14:paraId="627BCF02" w14:textId="77777777" w:rsidR="005F0005" w:rsidRPr="005F0005" w:rsidRDefault="005F0005" w:rsidP="005F0005">
      <w:pPr>
        <w:rPr>
          <w:rFonts w:ascii="Times New Roman" w:eastAsiaTheme="minorHAnsi" w:hAnsi="Times New Roman"/>
          <w:color w:val="auto"/>
          <w:sz w:val="24"/>
          <w:szCs w:val="24"/>
          <w:lang w:eastAsia="en-US"/>
        </w:rPr>
      </w:pPr>
    </w:p>
    <w:p w14:paraId="42C16BD9"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4) Core Curriculum Learning Lenses</w:t>
      </w:r>
    </w:p>
    <w:p w14:paraId="115341CC" w14:textId="77777777" w:rsidR="005F0005" w:rsidRPr="005F0005" w:rsidRDefault="005F0005" w:rsidP="005F0005">
      <w:pPr>
        <w:rPr>
          <w:rFonts w:ascii="Times New Roman" w:eastAsiaTheme="minorHAnsi" w:hAnsi="Times New Roman"/>
          <w:color w:val="auto"/>
          <w:sz w:val="24"/>
          <w:szCs w:val="24"/>
          <w:lang w:eastAsia="en-US"/>
        </w:rPr>
      </w:pPr>
    </w:p>
    <w:p w14:paraId="420FDA0B"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lastRenderedPageBreak/>
        <w:t>The MPA core curriculum will be organized around 4 “learning lenses”. These lenses define approaches and methods that will be integrated across the core courses and that will remain constant across years. These four lenses are:</w:t>
      </w:r>
    </w:p>
    <w:p w14:paraId="752CB4E7" w14:textId="77777777" w:rsidR="005F0005" w:rsidRPr="005F0005" w:rsidRDefault="005F0005" w:rsidP="005F0005">
      <w:pPr>
        <w:rPr>
          <w:rFonts w:ascii="Times New Roman" w:eastAsiaTheme="minorHAnsi" w:hAnsi="Times New Roman"/>
          <w:color w:val="auto"/>
          <w:sz w:val="24"/>
          <w:szCs w:val="24"/>
          <w:lang w:eastAsia="en-US"/>
        </w:rPr>
      </w:pPr>
    </w:p>
    <w:p w14:paraId="4F250B1C" w14:textId="77777777" w:rsidR="005F0005" w:rsidRPr="005F0005" w:rsidRDefault="005F0005" w:rsidP="005F0005">
      <w:pPr>
        <w:numPr>
          <w:ilvl w:val="0"/>
          <w:numId w:val="36"/>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Tribal governance</w:t>
      </w:r>
    </w:p>
    <w:p w14:paraId="5B28217D" w14:textId="77777777" w:rsidR="005F0005" w:rsidRPr="005F0005" w:rsidRDefault="005F0005" w:rsidP="005F0005">
      <w:pPr>
        <w:ind w:left="720"/>
        <w:rPr>
          <w:rFonts w:ascii="Times New Roman" w:eastAsiaTheme="minorHAnsi" w:hAnsi="Times New Roman"/>
          <w:color w:val="auto"/>
          <w:sz w:val="24"/>
          <w:szCs w:val="24"/>
          <w:lang w:eastAsia="en-US"/>
        </w:rPr>
      </w:pPr>
    </w:p>
    <w:p w14:paraId="2D999CF7" w14:textId="77777777" w:rsidR="005F0005" w:rsidRPr="005F0005" w:rsidRDefault="005F0005" w:rsidP="005F0005">
      <w:pPr>
        <w:numPr>
          <w:ilvl w:val="0"/>
          <w:numId w:val="36"/>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Ethics</w:t>
      </w:r>
    </w:p>
    <w:p w14:paraId="7927806D" w14:textId="77777777" w:rsidR="005F0005" w:rsidRPr="005F0005" w:rsidRDefault="005F0005" w:rsidP="005F0005">
      <w:pPr>
        <w:ind w:left="720"/>
        <w:contextualSpacing/>
        <w:rPr>
          <w:rFonts w:ascii="Times New Roman" w:eastAsiaTheme="minorHAnsi" w:hAnsi="Times New Roman"/>
          <w:color w:val="auto"/>
          <w:sz w:val="24"/>
          <w:szCs w:val="24"/>
          <w:lang w:eastAsia="en-US"/>
        </w:rPr>
      </w:pPr>
    </w:p>
    <w:p w14:paraId="7B76C77C" w14:textId="77777777" w:rsidR="005F0005" w:rsidRPr="005F0005" w:rsidRDefault="005F0005" w:rsidP="005F0005">
      <w:pPr>
        <w:numPr>
          <w:ilvl w:val="0"/>
          <w:numId w:val="36"/>
        </w:numPr>
        <w:contextualSpacing/>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Economics</w:t>
      </w:r>
    </w:p>
    <w:p w14:paraId="16CFE3D9" w14:textId="77777777" w:rsidR="005F0005" w:rsidRPr="005F0005" w:rsidRDefault="005F0005" w:rsidP="005F0005">
      <w:pPr>
        <w:ind w:left="1080"/>
        <w:contextualSpacing/>
        <w:rPr>
          <w:rFonts w:ascii="Times New Roman" w:eastAsiaTheme="minorHAnsi" w:hAnsi="Times New Roman"/>
          <w:color w:val="auto"/>
          <w:sz w:val="24"/>
          <w:szCs w:val="24"/>
          <w:lang w:eastAsia="en-US"/>
        </w:rPr>
      </w:pPr>
    </w:p>
    <w:p w14:paraId="4064C2CA" w14:textId="77777777" w:rsidR="005F0005" w:rsidRPr="005F0005" w:rsidRDefault="005F0005" w:rsidP="005F0005">
      <w:pPr>
        <w:ind w:left="720"/>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d.   Methodological inquiry</w:t>
      </w:r>
    </w:p>
    <w:p w14:paraId="749199BE"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10C4107A" w14:textId="77777777" w:rsidR="005F0005" w:rsidRPr="005F0005" w:rsidRDefault="005F0005" w:rsidP="005F0005">
      <w:pPr>
        <w:spacing w:after="160" w:line="259" w:lineRule="auto"/>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POSSIBLE IMPLICATIONS</w:t>
      </w:r>
    </w:p>
    <w:p w14:paraId="4CB8D4F0"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4"/>
          <w:szCs w:val="24"/>
          <w:lang w:eastAsia="en-US"/>
        </w:rPr>
        <w:t>1) Student Financial Aid</w:t>
      </w:r>
      <w:r w:rsidRPr="005F0005">
        <w:rPr>
          <w:rFonts w:ascii="Times New Roman" w:eastAsiaTheme="minorHAnsi" w:hAnsi="Times New Roman"/>
          <w:color w:val="auto"/>
          <w:sz w:val="24"/>
          <w:szCs w:val="24"/>
          <w:lang w:eastAsia="en-US"/>
        </w:rPr>
        <w:t>:  One goal in this curriculum re-design is to ease the path towards earning an Evergreen MPA on a part-time basis. This is particularly appropriate given that many if not most of the students we serve are in-service (in full-time professional positions) and therefore may often be unable to pursue a graduate program full-time and at the same time have a fair chance to demonstrate their academic ability. This raises a question about the availability of financial aid for part-time students in the MPA program.</w:t>
      </w:r>
    </w:p>
    <w:p w14:paraId="69CDD300"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To address this, the curriculum workgroup consulted with Colby Morelli in Evergreen’s Financial Aid office about financial aid for part-time students. The minimum credit load for federal financial aid for graduate students is 4 credits per quarter, and 8 credits per quarter is the minimum for full-time status for federal financial aid purposes. We also consulted with Randy Kelley in Evergreen’s Veterans Services office. According to Randy, VA benefits cover in-state tuition and fees for veterans enrolled for any number of credits, and this benefit does not require that the veteran complete the program within a particular time frame. For the additional housing benefit from VA, a veteran graduate student must be enrolled as a full-time student (8 credits).</w:t>
      </w:r>
    </w:p>
    <w:p w14:paraId="1824A2B6"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Tribal education benefits vary significantly from nation to nation, with many nations offering no support to graduate study and others offering benefits. We know anecdotally that some nations that offer benefits for graduate study require the student to maintain full-time status or more and/or to complete the degree within a particular time frame. Since we anticipate offering both 2 credit and 4 credit options to students, a student can develop a courseload in any increment of 2 credits, and could earn 10 credits with a courseload of 3 courses. All students, including those receiving benefits that are contingent on maintaining a particular course load, can receive advising for a schedule that will keep them in compliance with these requirements.</w:t>
      </w:r>
    </w:p>
    <w:p w14:paraId="5082CF52"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45586743"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4"/>
          <w:szCs w:val="24"/>
          <w:lang w:eastAsia="en-US"/>
        </w:rPr>
        <w:t>2) Program Headcount and Average Annual Full-Time Equivalent (AAFTE) Enrollment:</w:t>
      </w:r>
      <w:r w:rsidRPr="005F0005">
        <w:rPr>
          <w:rFonts w:ascii="Times New Roman" w:eastAsiaTheme="minorHAnsi" w:hAnsi="Times New Roman"/>
          <w:color w:val="auto"/>
          <w:sz w:val="24"/>
          <w:szCs w:val="24"/>
          <w:lang w:eastAsia="en-US"/>
        </w:rPr>
        <w:t xml:space="preserve">  The curriculum workgroup also explored the possible implications for MPA program headcount and Average Annual Full-Time Equivalent enrollment with a student body that is more heavily weighted to part-time. Discussion with Coral Garey in Evergreen’s Office for Institutional Research confirmed that Washington State defines a full-time equivalent in graduate program </w:t>
      </w:r>
      <w:r w:rsidRPr="005F0005">
        <w:rPr>
          <w:rFonts w:ascii="Times New Roman" w:eastAsiaTheme="minorHAnsi" w:hAnsi="Times New Roman"/>
          <w:color w:val="auto"/>
          <w:sz w:val="24"/>
          <w:szCs w:val="24"/>
          <w:lang w:eastAsia="en-US"/>
        </w:rPr>
        <w:lastRenderedPageBreak/>
        <w:t>enrollment as one student enrolled for 10 credits. Hence, a part-time student at 6 credits would count as 0.6 FTE, and a student at 12 credits would count as 1.2 FTE.  A greater proportion of part-time students would lower AAFTE in a given year. It would also be expected to increase program headcount (since part-time students stay in the program longer in order to complete their degree).</w:t>
      </w:r>
    </w:p>
    <w:p w14:paraId="6B7E5373"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To analyze the changes in FTE and program headcount with an increasing percentage of part-time students, we simulated headcount and AAFTE under two scenarios:  one in which 10% of MPA students complete the program part time (over 3 years) and the remainder complete the program full time (over 2 years); and the other in which 50% of entering MPA students complete the program part-time and the remainder complete the program full-time.  The model assumes that we admit 75 new students per year on average and a 10% attrition rate per year (both are approximately true for the MPA program today).</w:t>
      </w:r>
    </w:p>
    <w:p w14:paraId="68544202"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Figure 1 illustrates the projected AAFTE for the MPA program over 12 years following implementation of a curriculum that results in 10% of students going part-time and 50% of students going part-time. Between Year 1 and Year 2, AAFTE enrollment drops significantly in a program that shifts to 50% part-time enrollment compared to a curriculum with 10% part-time enrollment.   This occurs since part-time students individually contribute fewer FTEs in a given year to enrollment. Between Years 2 and 3, AAFTE enrollment under 50% part-time enrollment increases to approximate AAFTE enrollment under 10% part-time enrollment. This occurs because headcount of part-time students increases because these students remain in the program for 3 years rather than 2.  Note that AAFTE under 50% part-time enrollment is expected to be slightly below that under 10% part-time because their longer time in the program makes part-time students more vulnerable to attrition.</w:t>
      </w:r>
    </w:p>
    <w:p w14:paraId="037541D6"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noProof/>
          <w:color w:val="auto"/>
          <w:sz w:val="24"/>
          <w:szCs w:val="24"/>
          <w:lang w:eastAsia="en-US"/>
        </w:rPr>
        <w:lastRenderedPageBreak/>
        <w:drawing>
          <wp:inline distT="0" distB="0" distL="0" distR="0" wp14:anchorId="37E7576C" wp14:editId="41119756">
            <wp:extent cx="6267945" cy="4551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2660" cy="4561729"/>
                    </a:xfrm>
                    <a:prstGeom prst="rect">
                      <a:avLst/>
                    </a:prstGeom>
                    <a:noFill/>
                  </pic:spPr>
                </pic:pic>
              </a:graphicData>
            </a:graphic>
          </wp:inline>
        </w:drawing>
      </w:r>
    </w:p>
    <w:p w14:paraId="446B72ED"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6924D32C"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Figure 2 illustrates MPA program headcount (total number of full-time and part-time students) in a program with 10% part-time enrollment and 50% part-time enrollment. In Years 1 and 2, headcount declines under both scenarios equally from attrition. Between Years 2 and 3, headcount increases under both scenarios as part-time students who started in year 1 remain in the program through year 3. Hence the increase in headcount is greater in the program with 50% of entering students being part-time, and remains greater over the long-run.</w:t>
      </w:r>
    </w:p>
    <w:p w14:paraId="44C64076"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These models indicate that we can expect a temporary dip in AAFTE in adopting a curriculum that results in more students pursuing the program part-time, but that over the long-run AAFTE will approximate that of a program where most students enter as full-time.  A permanent difference exists owing to the extra year in the program from part-time students, which increases the risk of attrition from the program.  Assuming the program’s annual attrition rate remains around 10% (as assumed here), this difference is small in comparison to the rest of the program. Hence only a small increase in enrollment resulting from students selecting the program because it is easier to pursue part-time is needed in order to cost-justify the change.</w:t>
      </w:r>
    </w:p>
    <w:p w14:paraId="04A3C3EA"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199FA1B5"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noProof/>
          <w:color w:val="auto"/>
          <w:sz w:val="24"/>
          <w:szCs w:val="24"/>
          <w:lang w:eastAsia="en-US"/>
        </w:rPr>
        <w:lastRenderedPageBreak/>
        <w:drawing>
          <wp:inline distT="0" distB="0" distL="0" distR="0" wp14:anchorId="5AE7948F" wp14:editId="013B1562">
            <wp:extent cx="5943600" cy="4311015"/>
            <wp:effectExtent l="0" t="0" r="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0B4AFD"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78488228"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 further consideration of these curricular changes on AAFTE is how these changes may affect the proportion of MPA courses that MPA students choose to earn over summer. Summer courses are not considered in the AAFTE enrollment count. Changes that increase the average student’s propensity to take summer courses, then, may decrease AAFTE.  Two factors under these changes may affect summer enrollment. First, if part-time students are more likely to take summer courses than full-time students, AAFTE would over the long-run be lower than it would be otherwise. Second, faculty workload change from 30 credits per year of teaching to 24 credits will reduce the number of elective courses over the academic year, but may increase the amount of ILCs and internships faculty need to sponsor. This may increase the number of summer courses students will take in order to complete the degree on time. Consequently, we should monitor changes in summer registration as we implement to determine whether adjustments should be made to compensate.</w:t>
      </w:r>
    </w:p>
    <w:p w14:paraId="10B625DB"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br w:type="page"/>
      </w:r>
    </w:p>
    <w:tbl>
      <w:tblPr>
        <w:tblStyle w:val="TableGrid1"/>
        <w:tblW w:w="8988" w:type="dxa"/>
        <w:tblLook w:val="04A0" w:firstRow="1" w:lastRow="0" w:firstColumn="1" w:lastColumn="0" w:noHBand="0" w:noVBand="1"/>
      </w:tblPr>
      <w:tblGrid>
        <w:gridCol w:w="4494"/>
        <w:gridCol w:w="4494"/>
      </w:tblGrid>
      <w:tr w:rsidR="005F0005" w:rsidRPr="005F0005" w14:paraId="357A65DE" w14:textId="77777777" w:rsidTr="006651FC">
        <w:trPr>
          <w:trHeight w:val="693"/>
        </w:trPr>
        <w:tc>
          <w:tcPr>
            <w:tcW w:w="4494" w:type="dxa"/>
          </w:tcPr>
          <w:p w14:paraId="36D6F6A2" w14:textId="77777777" w:rsidR="005F0005" w:rsidRPr="005F0005" w:rsidRDefault="005F0005" w:rsidP="005F0005">
            <w:pPr>
              <w:spacing w:after="160" w:line="259" w:lineRule="auto"/>
              <w:jc w:val="center"/>
              <w:rPr>
                <w:rFonts w:ascii="Times New Roman" w:eastAsiaTheme="minorHAnsi" w:hAnsi="Times New Roman"/>
                <w:color w:val="auto"/>
                <w:sz w:val="24"/>
                <w:szCs w:val="24"/>
                <w:lang w:eastAsia="en-US"/>
              </w:rPr>
            </w:pPr>
          </w:p>
          <w:p w14:paraId="6FC087E7" w14:textId="77777777" w:rsidR="005F0005" w:rsidRPr="005F0005" w:rsidRDefault="005F0005" w:rsidP="005F0005">
            <w:pPr>
              <w:spacing w:after="160" w:line="259" w:lineRule="auto"/>
              <w:jc w:val="cente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New MPA Curriculum (Beginning Fall 2021)</w:t>
            </w:r>
          </w:p>
        </w:tc>
        <w:tc>
          <w:tcPr>
            <w:tcW w:w="4494" w:type="dxa"/>
          </w:tcPr>
          <w:p w14:paraId="482AAE11" w14:textId="77777777" w:rsidR="005F0005" w:rsidRPr="005F0005" w:rsidRDefault="005F0005" w:rsidP="005F0005">
            <w:pPr>
              <w:spacing w:after="160" w:line="259" w:lineRule="auto"/>
              <w:jc w:val="center"/>
              <w:rPr>
                <w:rFonts w:ascii="Times New Roman" w:eastAsiaTheme="minorHAnsi" w:hAnsi="Times New Roman"/>
                <w:color w:val="auto"/>
                <w:sz w:val="24"/>
                <w:szCs w:val="24"/>
                <w:lang w:eastAsia="en-US"/>
              </w:rPr>
            </w:pPr>
          </w:p>
          <w:p w14:paraId="2864937A" w14:textId="77777777" w:rsidR="005F0005" w:rsidRPr="005F0005" w:rsidRDefault="005F0005" w:rsidP="005F0005">
            <w:pPr>
              <w:spacing w:after="160" w:line="259" w:lineRule="auto"/>
              <w:jc w:val="cente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Old MPA Curriculum</w:t>
            </w:r>
          </w:p>
        </w:tc>
      </w:tr>
      <w:tr w:rsidR="005F0005" w:rsidRPr="005F0005" w14:paraId="041D61E7" w14:textId="77777777" w:rsidTr="006651FC">
        <w:trPr>
          <w:trHeight w:val="693"/>
        </w:trPr>
        <w:tc>
          <w:tcPr>
            <w:tcW w:w="4494" w:type="dxa"/>
          </w:tcPr>
          <w:p w14:paraId="33A2D87B"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60 credits total</w:t>
            </w:r>
          </w:p>
        </w:tc>
        <w:tc>
          <w:tcPr>
            <w:tcW w:w="4494" w:type="dxa"/>
          </w:tcPr>
          <w:p w14:paraId="0957B091"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60 credits total</w:t>
            </w:r>
          </w:p>
        </w:tc>
      </w:tr>
      <w:tr w:rsidR="005F0005" w:rsidRPr="005F0005" w14:paraId="6F5B3493" w14:textId="77777777" w:rsidTr="006651FC">
        <w:trPr>
          <w:trHeight w:val="716"/>
        </w:trPr>
        <w:tc>
          <w:tcPr>
            <w:tcW w:w="4494" w:type="dxa"/>
          </w:tcPr>
          <w:p w14:paraId="7641895F"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Core Curriculum 28 credits  (6 courses + capstone—no longer part of “core”, 4 credits each)</w:t>
            </w:r>
          </w:p>
        </w:tc>
        <w:tc>
          <w:tcPr>
            <w:tcW w:w="4494" w:type="dxa"/>
          </w:tcPr>
          <w:p w14:paraId="4B3FF307"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Core Curriculum 36 credits  (5 courses + capstone, 6 credits each)</w:t>
            </w:r>
          </w:p>
        </w:tc>
      </w:tr>
      <w:tr w:rsidR="005F0005" w:rsidRPr="005F0005" w14:paraId="275FECC5" w14:textId="77777777" w:rsidTr="006651FC">
        <w:trPr>
          <w:trHeight w:val="693"/>
        </w:trPr>
        <w:tc>
          <w:tcPr>
            <w:tcW w:w="4494" w:type="dxa"/>
          </w:tcPr>
          <w:p w14:paraId="18FCCDDC"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35723E79"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Concentration required (12 credits , choice of Public Policy, Public and Nonprofit Administration, and Tribal Governance)</w:t>
            </w:r>
          </w:p>
        </w:tc>
        <w:tc>
          <w:tcPr>
            <w:tcW w:w="4494" w:type="dxa"/>
          </w:tcPr>
          <w:p w14:paraId="7AD381B8"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No concentration required</w:t>
            </w:r>
          </w:p>
          <w:p w14:paraId="1F2460EA"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Two concentrations available:</w:t>
            </w:r>
          </w:p>
          <w:p w14:paraId="51A6A83B"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Tribal Governance (20 credits)</w:t>
            </w:r>
          </w:p>
          <w:p w14:paraId="0190B442"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Public Policy (8 credits)</w:t>
            </w:r>
          </w:p>
        </w:tc>
      </w:tr>
      <w:tr w:rsidR="005F0005" w:rsidRPr="005F0005" w14:paraId="51544B87" w14:textId="77777777" w:rsidTr="006651FC">
        <w:trPr>
          <w:trHeight w:val="693"/>
        </w:trPr>
        <w:tc>
          <w:tcPr>
            <w:tcW w:w="4494" w:type="dxa"/>
          </w:tcPr>
          <w:p w14:paraId="260AFC2A"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0E7897E3"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20 credits  in electives for all students</w:t>
            </w:r>
          </w:p>
        </w:tc>
        <w:tc>
          <w:tcPr>
            <w:tcW w:w="4494" w:type="dxa"/>
          </w:tcPr>
          <w:p w14:paraId="43679946"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24 elective credits (no concentration)</w:t>
            </w:r>
          </w:p>
          <w:p w14:paraId="786FDE4B"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16 elective credits (Public Policy)</w:t>
            </w:r>
          </w:p>
          <w:p w14:paraId="76AFCCE4"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4 elective credits (Tribal Governance)</w:t>
            </w:r>
          </w:p>
        </w:tc>
      </w:tr>
      <w:tr w:rsidR="005F0005" w:rsidRPr="005F0005" w14:paraId="09AD75C7" w14:textId="77777777" w:rsidTr="006651FC">
        <w:trPr>
          <w:trHeight w:val="693"/>
        </w:trPr>
        <w:tc>
          <w:tcPr>
            <w:tcW w:w="4494" w:type="dxa"/>
          </w:tcPr>
          <w:p w14:paraId="29E247E5"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Three cohort learning communities:</w:t>
            </w:r>
          </w:p>
          <w:p w14:paraId="68ECEB77"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Olympia evening (any concentration)</w:t>
            </w:r>
          </w:p>
          <w:p w14:paraId="641214D0"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Tacoma evening (any concentration)</w:t>
            </w:r>
          </w:p>
          <w:p w14:paraId="24B54E93"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Weekend Intensive (any concentration)</w:t>
            </w:r>
          </w:p>
        </w:tc>
        <w:tc>
          <w:tcPr>
            <w:tcW w:w="4494" w:type="dxa"/>
          </w:tcPr>
          <w:p w14:paraId="5A941D2A"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Three learning communities:</w:t>
            </w:r>
          </w:p>
          <w:p w14:paraId="7F2FC432"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Olympia evening (PNAPP only)</w:t>
            </w:r>
          </w:p>
          <w:p w14:paraId="6686C09A"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Tacoma evening (PNAPP only)</w:t>
            </w:r>
          </w:p>
          <w:p w14:paraId="5A97B952"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Weekend Intensive (TG only)</w:t>
            </w:r>
          </w:p>
        </w:tc>
      </w:tr>
      <w:tr w:rsidR="005F0005" w:rsidRPr="005F0005" w14:paraId="41BEE8A9" w14:textId="77777777" w:rsidTr="006651FC">
        <w:trPr>
          <w:trHeight w:val="693"/>
        </w:trPr>
        <w:tc>
          <w:tcPr>
            <w:tcW w:w="4494" w:type="dxa"/>
          </w:tcPr>
          <w:p w14:paraId="5E8C17DA"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3F7BE7C1"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No statistics pre-requisite</w:t>
            </w:r>
          </w:p>
        </w:tc>
        <w:tc>
          <w:tcPr>
            <w:tcW w:w="4494" w:type="dxa"/>
          </w:tcPr>
          <w:p w14:paraId="0F769DA0"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5489B3AD"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Statistics pre-requisite required for admission</w:t>
            </w:r>
          </w:p>
        </w:tc>
      </w:tr>
      <w:tr w:rsidR="005F0005" w:rsidRPr="005F0005" w14:paraId="277BB743" w14:textId="77777777" w:rsidTr="006651FC">
        <w:trPr>
          <w:trHeight w:val="716"/>
        </w:trPr>
        <w:tc>
          <w:tcPr>
            <w:tcW w:w="4494" w:type="dxa"/>
          </w:tcPr>
          <w:p w14:paraId="53F07C0D"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4BD3E4B3"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Option to change core cohort learning community (space provided)</w:t>
            </w:r>
          </w:p>
        </w:tc>
        <w:tc>
          <w:tcPr>
            <w:tcW w:w="4494" w:type="dxa"/>
          </w:tcPr>
          <w:p w14:paraId="1AF98909"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p>
          <w:p w14:paraId="720AE839"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Core Cohort Learning community fixed</w:t>
            </w:r>
          </w:p>
        </w:tc>
      </w:tr>
    </w:tbl>
    <w:p w14:paraId="50325630"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br w:type="page"/>
      </w:r>
    </w:p>
    <w:p w14:paraId="362148E7"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lastRenderedPageBreak/>
        <w:t>Appendix A:  Sample Student Planning Worksheet</w:t>
      </w:r>
    </w:p>
    <w:p w14:paraId="35F69B1D" w14:textId="77777777" w:rsidR="005F0005" w:rsidRPr="005F0005" w:rsidRDefault="005F0005" w:rsidP="005F0005">
      <w:pPr>
        <w:rPr>
          <w:rFonts w:ascii="Times New Roman" w:eastAsiaTheme="minorHAnsi" w:hAnsi="Times New Roman"/>
          <w:b/>
          <w:color w:val="auto"/>
          <w:sz w:val="24"/>
          <w:szCs w:val="24"/>
          <w:lang w:eastAsia="en-US"/>
        </w:rPr>
      </w:pPr>
    </w:p>
    <w:p w14:paraId="50A96F2A" w14:textId="77777777" w:rsidR="005F0005" w:rsidRPr="005F0005" w:rsidRDefault="005F0005" w:rsidP="005F0005">
      <w:pPr>
        <w:widowControl w:val="0"/>
        <w:autoSpaceDE w:val="0"/>
        <w:autoSpaceDN w:val="0"/>
        <w:spacing w:before="39"/>
        <w:ind w:left="1166" w:right="1147"/>
        <w:jc w:val="center"/>
        <w:outlineLvl w:val="0"/>
        <w:rPr>
          <w:rFonts w:ascii="Calibri" w:eastAsia="Calibri" w:hAnsi="Calibri" w:cs="Calibri"/>
          <w:b/>
          <w:bCs/>
          <w:color w:val="auto"/>
          <w:sz w:val="22"/>
          <w:szCs w:val="22"/>
          <w:lang w:eastAsia="en-US" w:bidi="en-US"/>
        </w:rPr>
      </w:pPr>
      <w:r w:rsidRPr="005F0005">
        <w:rPr>
          <w:rFonts w:ascii="Calibri" w:eastAsia="Calibri" w:hAnsi="Calibri" w:cs="Calibri"/>
          <w:b/>
          <w:bCs/>
          <w:color w:val="auto"/>
          <w:sz w:val="22"/>
          <w:szCs w:val="22"/>
          <w:lang w:eastAsia="en-US" w:bidi="en-US"/>
        </w:rPr>
        <w:t>MPA Student Program Planning Worksheet</w:t>
      </w:r>
    </w:p>
    <w:p w14:paraId="0F1A90FA" w14:textId="77777777" w:rsidR="005F0005" w:rsidRPr="005F0005" w:rsidRDefault="005F0005" w:rsidP="005F0005">
      <w:pPr>
        <w:widowControl w:val="0"/>
        <w:autoSpaceDE w:val="0"/>
        <w:autoSpaceDN w:val="0"/>
        <w:spacing w:before="6"/>
        <w:rPr>
          <w:rFonts w:ascii="Calibri" w:eastAsia="Calibri" w:hAnsi="Calibri" w:cs="Calibri"/>
          <w:b/>
          <w:color w:val="auto"/>
          <w:sz w:val="19"/>
          <w:szCs w:val="22"/>
          <w:lang w:eastAsia="en-US" w:bidi="en-US"/>
        </w:rPr>
      </w:pPr>
    </w:p>
    <w:p w14:paraId="09387DD2" w14:textId="77777777" w:rsidR="005F0005" w:rsidRPr="005F0005" w:rsidRDefault="005F0005" w:rsidP="005F0005">
      <w:pPr>
        <w:widowControl w:val="0"/>
        <w:tabs>
          <w:tab w:val="left" w:pos="2620"/>
          <w:tab w:val="left" w:pos="5693"/>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Name:</w:t>
      </w:r>
      <w:r w:rsidRPr="005F0005">
        <w:rPr>
          <w:rFonts w:ascii="Calibri" w:eastAsia="Calibri" w:hAnsi="Calibri" w:cs="Calibri"/>
          <w:color w:val="auto"/>
          <w:sz w:val="22"/>
          <w:szCs w:val="22"/>
          <w:u w:val="single"/>
          <w:lang w:eastAsia="en-US" w:bidi="en-US"/>
        </w:rPr>
        <w:t xml:space="preserve"> </w:t>
      </w:r>
      <w:r w:rsidRPr="005F0005">
        <w:rPr>
          <w:rFonts w:ascii="Calibri" w:eastAsia="Calibri" w:hAnsi="Calibri" w:cs="Calibri"/>
          <w:color w:val="auto"/>
          <w:sz w:val="22"/>
          <w:szCs w:val="22"/>
          <w:u w:val="single"/>
          <w:lang w:eastAsia="en-US" w:bidi="en-US"/>
        </w:rPr>
        <w:tab/>
      </w:r>
      <w:r w:rsidRPr="005F0005">
        <w:rPr>
          <w:rFonts w:ascii="Calibri" w:eastAsia="Calibri" w:hAnsi="Calibri" w:cs="Calibri"/>
          <w:color w:val="auto"/>
          <w:sz w:val="22"/>
          <w:szCs w:val="22"/>
          <w:lang w:eastAsia="en-US" w:bidi="en-US"/>
        </w:rPr>
        <w:t>Student</w:t>
      </w:r>
      <w:r w:rsidRPr="005F0005">
        <w:rPr>
          <w:rFonts w:ascii="Calibri" w:eastAsia="Calibri" w:hAnsi="Calibri" w:cs="Calibri"/>
          <w:color w:val="auto"/>
          <w:spacing w:val="-3"/>
          <w:sz w:val="22"/>
          <w:szCs w:val="22"/>
          <w:lang w:eastAsia="en-US" w:bidi="en-US"/>
        </w:rPr>
        <w:t xml:space="preserve"> </w:t>
      </w:r>
      <w:r w:rsidRPr="005F0005">
        <w:rPr>
          <w:rFonts w:ascii="Calibri" w:eastAsia="Calibri" w:hAnsi="Calibri" w:cs="Calibri"/>
          <w:color w:val="auto"/>
          <w:sz w:val="22"/>
          <w:szCs w:val="22"/>
          <w:lang w:eastAsia="en-US" w:bidi="en-US"/>
        </w:rPr>
        <w:t>Number:</w:t>
      </w:r>
      <w:r w:rsidRPr="005F0005">
        <w:rPr>
          <w:rFonts w:ascii="Calibri" w:eastAsia="Calibri" w:hAnsi="Calibri" w:cs="Calibri"/>
          <w:color w:val="auto"/>
          <w:sz w:val="22"/>
          <w:szCs w:val="22"/>
          <w:u w:val="single"/>
          <w:lang w:eastAsia="en-US" w:bidi="en-US"/>
        </w:rPr>
        <w:t xml:space="preserve"> </w:t>
      </w:r>
      <w:r w:rsidRPr="005F0005">
        <w:rPr>
          <w:rFonts w:ascii="Calibri" w:eastAsia="Calibri" w:hAnsi="Calibri" w:cs="Calibri"/>
          <w:color w:val="auto"/>
          <w:sz w:val="22"/>
          <w:szCs w:val="22"/>
          <w:u w:val="single"/>
          <w:lang w:eastAsia="en-US" w:bidi="en-US"/>
        </w:rPr>
        <w:tab/>
      </w:r>
      <w:r w:rsidRPr="005F0005">
        <w:rPr>
          <w:rFonts w:ascii="Calibri" w:eastAsia="Calibri" w:hAnsi="Calibri" w:cs="Calibri"/>
          <w:color w:val="auto"/>
          <w:sz w:val="22"/>
          <w:szCs w:val="22"/>
          <w:lang w:eastAsia="en-US" w:bidi="en-US"/>
        </w:rPr>
        <w:t>[Admissions: No prerequisites]</w:t>
      </w:r>
    </w:p>
    <w:p w14:paraId="573FA134" w14:textId="77777777" w:rsidR="005F0005" w:rsidRPr="005F0005" w:rsidRDefault="005F0005" w:rsidP="005F0005">
      <w:pPr>
        <w:widowControl w:val="0"/>
        <w:tabs>
          <w:tab w:val="left" w:pos="4330"/>
          <w:tab w:val="left" w:pos="6834"/>
          <w:tab w:val="left" w:pos="8561"/>
        </w:tabs>
        <w:autoSpaceDE w:val="0"/>
        <w:autoSpaceDN w:val="0"/>
        <w:spacing w:before="1"/>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Cohort (select one):</w:t>
      </w:r>
      <w:r w:rsidRPr="005F0005">
        <w:rPr>
          <w:rFonts w:ascii="Calibri" w:eastAsia="Calibri" w:hAnsi="Calibri" w:cs="Calibri"/>
          <w:color w:val="auto"/>
          <w:spacing w:val="-7"/>
          <w:sz w:val="22"/>
          <w:szCs w:val="22"/>
          <w:lang w:eastAsia="en-US" w:bidi="en-US"/>
        </w:rPr>
        <w:t xml:space="preserve"> </w:t>
      </w:r>
      <w:r w:rsidRPr="005F0005">
        <w:rPr>
          <w:rFonts w:ascii="Calibri" w:eastAsia="Calibri" w:hAnsi="Calibri" w:cs="Calibri"/>
          <w:color w:val="auto"/>
          <w:sz w:val="22"/>
          <w:szCs w:val="22"/>
          <w:lang w:eastAsia="en-US" w:bidi="en-US"/>
        </w:rPr>
        <w:t>Olympia</w:t>
      </w:r>
      <w:r w:rsidRPr="005F0005">
        <w:rPr>
          <w:rFonts w:ascii="Calibri" w:eastAsia="Calibri" w:hAnsi="Calibri" w:cs="Calibri"/>
          <w:color w:val="auto"/>
          <w:spacing w:val="-2"/>
          <w:sz w:val="22"/>
          <w:szCs w:val="22"/>
          <w:lang w:eastAsia="en-US" w:bidi="en-US"/>
        </w:rPr>
        <w:t xml:space="preserve"> </w:t>
      </w:r>
      <w:r w:rsidRPr="005F0005">
        <w:rPr>
          <w:rFonts w:ascii="Calibri" w:eastAsia="Calibri" w:hAnsi="Calibri" w:cs="Calibri"/>
          <w:color w:val="auto"/>
          <w:sz w:val="22"/>
          <w:szCs w:val="22"/>
          <w:lang w:eastAsia="en-US" w:bidi="en-US"/>
        </w:rPr>
        <w:t>Weeknight</w:t>
      </w:r>
      <w:r w:rsidRPr="005F0005">
        <w:rPr>
          <w:rFonts w:ascii="Calibri" w:eastAsia="Calibri" w:hAnsi="Calibri" w:cs="Calibri"/>
          <w:color w:val="auto"/>
          <w:sz w:val="22"/>
          <w:szCs w:val="22"/>
          <w:u w:val="single"/>
          <w:lang w:eastAsia="en-US" w:bidi="en-US"/>
        </w:rPr>
        <w:t xml:space="preserve"> </w:t>
      </w:r>
      <w:r w:rsidRPr="005F0005">
        <w:rPr>
          <w:rFonts w:ascii="Calibri" w:eastAsia="Calibri" w:hAnsi="Calibri" w:cs="Calibri"/>
          <w:color w:val="auto"/>
          <w:sz w:val="22"/>
          <w:szCs w:val="22"/>
          <w:u w:val="single"/>
          <w:lang w:eastAsia="en-US" w:bidi="en-US"/>
        </w:rPr>
        <w:tab/>
      </w:r>
      <w:r w:rsidRPr="005F0005">
        <w:rPr>
          <w:rFonts w:ascii="Calibri" w:eastAsia="Calibri" w:hAnsi="Calibri" w:cs="Calibri"/>
          <w:color w:val="auto"/>
          <w:sz w:val="22"/>
          <w:szCs w:val="22"/>
          <w:lang w:eastAsia="en-US" w:bidi="en-US"/>
        </w:rPr>
        <w:t>Olympia</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Weekend</w:t>
      </w:r>
      <w:r w:rsidRPr="005F0005">
        <w:rPr>
          <w:rFonts w:ascii="Calibri" w:eastAsia="Calibri" w:hAnsi="Calibri" w:cs="Calibri"/>
          <w:color w:val="auto"/>
          <w:sz w:val="22"/>
          <w:szCs w:val="22"/>
          <w:u w:val="single"/>
          <w:lang w:eastAsia="en-US" w:bidi="en-US"/>
        </w:rPr>
        <w:t xml:space="preserve"> </w:t>
      </w:r>
      <w:r w:rsidRPr="005F0005">
        <w:rPr>
          <w:rFonts w:ascii="Calibri" w:eastAsia="Calibri" w:hAnsi="Calibri" w:cs="Calibri"/>
          <w:color w:val="auto"/>
          <w:sz w:val="22"/>
          <w:szCs w:val="22"/>
          <w:u w:val="single"/>
          <w:lang w:eastAsia="en-US" w:bidi="en-US"/>
        </w:rPr>
        <w:tab/>
      </w:r>
      <w:r w:rsidRPr="005F0005">
        <w:rPr>
          <w:rFonts w:ascii="Calibri" w:eastAsia="Calibri" w:hAnsi="Calibri" w:cs="Calibri"/>
          <w:color w:val="auto"/>
          <w:sz w:val="22"/>
          <w:szCs w:val="22"/>
          <w:lang w:eastAsia="en-US" w:bidi="en-US"/>
        </w:rPr>
        <w:t xml:space="preserve">Tacoma Weeknight </w:t>
      </w:r>
      <w:r w:rsidRPr="005F0005">
        <w:rPr>
          <w:rFonts w:ascii="Calibri" w:eastAsia="Calibri" w:hAnsi="Calibri" w:cs="Calibri"/>
          <w:color w:val="auto"/>
          <w:sz w:val="22"/>
          <w:szCs w:val="22"/>
          <w:u w:val="single"/>
          <w:lang w:eastAsia="en-US" w:bidi="en-US"/>
        </w:rPr>
        <w:t xml:space="preserve"> </w:t>
      </w:r>
      <w:r w:rsidRPr="005F0005">
        <w:rPr>
          <w:rFonts w:ascii="Calibri" w:eastAsia="Calibri" w:hAnsi="Calibri" w:cs="Calibri"/>
          <w:color w:val="auto"/>
          <w:sz w:val="22"/>
          <w:szCs w:val="22"/>
          <w:u w:val="single"/>
          <w:lang w:eastAsia="en-US" w:bidi="en-US"/>
        </w:rPr>
        <w:tab/>
      </w:r>
    </w:p>
    <w:p w14:paraId="3F181F68" w14:textId="77777777" w:rsidR="005F0005" w:rsidRPr="005F0005" w:rsidRDefault="005F0005" w:rsidP="005F0005">
      <w:pPr>
        <w:widowControl w:val="0"/>
        <w:tabs>
          <w:tab w:val="left" w:pos="3718"/>
          <w:tab w:val="left" w:pos="7559"/>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Begin</w:t>
      </w:r>
      <w:r w:rsidRPr="005F0005">
        <w:rPr>
          <w:rFonts w:ascii="Calibri" w:eastAsia="Calibri" w:hAnsi="Calibri" w:cs="Calibri"/>
          <w:color w:val="auto"/>
          <w:spacing w:val="-2"/>
          <w:sz w:val="22"/>
          <w:szCs w:val="22"/>
          <w:lang w:eastAsia="en-US" w:bidi="en-US"/>
        </w:rPr>
        <w:t xml:space="preserve"> </w:t>
      </w:r>
      <w:r w:rsidRPr="005F0005">
        <w:rPr>
          <w:rFonts w:ascii="Calibri" w:eastAsia="Calibri" w:hAnsi="Calibri" w:cs="Calibri"/>
          <w:color w:val="auto"/>
          <w:sz w:val="22"/>
          <w:szCs w:val="22"/>
          <w:lang w:eastAsia="en-US" w:bidi="en-US"/>
        </w:rPr>
        <w:t>Program</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Qtr/Year:</w:t>
      </w:r>
      <w:r w:rsidRPr="005F0005">
        <w:rPr>
          <w:rFonts w:ascii="Calibri" w:eastAsia="Calibri" w:hAnsi="Calibri" w:cs="Calibri"/>
          <w:color w:val="auto"/>
          <w:sz w:val="22"/>
          <w:szCs w:val="22"/>
          <w:u w:val="single"/>
          <w:lang w:eastAsia="en-US" w:bidi="en-US"/>
        </w:rPr>
        <w:t xml:space="preserve"> </w:t>
      </w:r>
      <w:r w:rsidRPr="005F0005">
        <w:rPr>
          <w:rFonts w:ascii="Calibri" w:eastAsia="Calibri" w:hAnsi="Calibri" w:cs="Calibri"/>
          <w:color w:val="auto"/>
          <w:sz w:val="22"/>
          <w:szCs w:val="22"/>
          <w:u w:val="single"/>
          <w:lang w:eastAsia="en-US" w:bidi="en-US"/>
        </w:rPr>
        <w:tab/>
      </w:r>
      <w:r w:rsidRPr="005F0005">
        <w:rPr>
          <w:rFonts w:ascii="Calibri" w:eastAsia="Calibri" w:hAnsi="Calibri" w:cs="Calibri"/>
          <w:color w:val="auto"/>
          <w:sz w:val="22"/>
          <w:szCs w:val="22"/>
          <w:lang w:eastAsia="en-US" w:bidi="en-US"/>
        </w:rPr>
        <w:t>Anticipated Graduation</w:t>
      </w:r>
      <w:r w:rsidRPr="005F0005">
        <w:rPr>
          <w:rFonts w:ascii="Calibri" w:eastAsia="Calibri" w:hAnsi="Calibri" w:cs="Calibri"/>
          <w:color w:val="auto"/>
          <w:spacing w:val="-9"/>
          <w:sz w:val="22"/>
          <w:szCs w:val="22"/>
          <w:lang w:eastAsia="en-US" w:bidi="en-US"/>
        </w:rPr>
        <w:t xml:space="preserve"> </w:t>
      </w:r>
      <w:r w:rsidRPr="005F0005">
        <w:rPr>
          <w:rFonts w:ascii="Calibri" w:eastAsia="Calibri" w:hAnsi="Calibri" w:cs="Calibri"/>
          <w:color w:val="auto"/>
          <w:sz w:val="22"/>
          <w:szCs w:val="22"/>
          <w:lang w:eastAsia="en-US" w:bidi="en-US"/>
        </w:rPr>
        <w:t>Qtr/Year:</w:t>
      </w:r>
      <w:r w:rsidRPr="005F0005">
        <w:rPr>
          <w:rFonts w:ascii="Calibri" w:eastAsia="Calibri" w:hAnsi="Calibri" w:cs="Calibri"/>
          <w:color w:val="auto"/>
          <w:spacing w:val="3"/>
          <w:sz w:val="22"/>
          <w:szCs w:val="22"/>
          <w:lang w:eastAsia="en-US" w:bidi="en-US"/>
        </w:rPr>
        <w:t xml:space="preserve"> </w:t>
      </w:r>
      <w:r w:rsidRPr="005F0005">
        <w:rPr>
          <w:rFonts w:ascii="Calibri" w:eastAsia="Calibri" w:hAnsi="Calibri" w:cs="Calibri"/>
          <w:color w:val="auto"/>
          <w:sz w:val="22"/>
          <w:szCs w:val="22"/>
          <w:u w:val="single"/>
          <w:lang w:eastAsia="en-US" w:bidi="en-US"/>
        </w:rPr>
        <w:t xml:space="preserve"> </w:t>
      </w:r>
      <w:r w:rsidRPr="005F0005">
        <w:rPr>
          <w:rFonts w:ascii="Calibri" w:eastAsia="Calibri" w:hAnsi="Calibri" w:cs="Calibri"/>
          <w:color w:val="auto"/>
          <w:sz w:val="22"/>
          <w:szCs w:val="22"/>
          <w:u w:val="single"/>
          <w:lang w:eastAsia="en-US" w:bidi="en-US"/>
        </w:rPr>
        <w:tab/>
      </w:r>
    </w:p>
    <w:p w14:paraId="1B79B89E" w14:textId="77777777" w:rsidR="005F0005" w:rsidRPr="005F0005" w:rsidRDefault="005F0005" w:rsidP="005F0005">
      <w:pPr>
        <w:widowControl w:val="0"/>
        <w:autoSpaceDE w:val="0"/>
        <w:autoSpaceDN w:val="0"/>
        <w:spacing w:before="5"/>
        <w:rPr>
          <w:rFonts w:ascii="Calibri" w:eastAsia="Calibri" w:hAnsi="Calibri" w:cs="Calibri"/>
          <w:color w:val="auto"/>
          <w:sz w:val="17"/>
          <w:szCs w:val="22"/>
          <w:lang w:eastAsia="en-US" w:bidi="en-US"/>
        </w:rPr>
      </w:pPr>
    </w:p>
    <w:p w14:paraId="27AC4517" w14:textId="77777777" w:rsidR="005F0005" w:rsidRPr="005F0005" w:rsidRDefault="005F0005" w:rsidP="005F0005">
      <w:pPr>
        <w:widowControl w:val="0"/>
        <w:autoSpaceDE w:val="0"/>
        <w:autoSpaceDN w:val="0"/>
        <w:spacing w:before="56"/>
        <w:ind w:left="100"/>
        <w:outlineLvl w:val="0"/>
        <w:rPr>
          <w:rFonts w:ascii="Calibri" w:eastAsia="Calibri" w:hAnsi="Calibri" w:cs="Calibri"/>
          <w:b/>
          <w:bCs/>
          <w:color w:val="auto"/>
          <w:sz w:val="22"/>
          <w:szCs w:val="22"/>
          <w:lang w:eastAsia="en-US" w:bidi="en-US"/>
        </w:rPr>
      </w:pPr>
      <w:r w:rsidRPr="005F0005">
        <w:rPr>
          <w:rFonts w:ascii="Calibri" w:eastAsia="Calibri" w:hAnsi="Calibri" w:cs="Calibri"/>
          <w:b/>
          <w:bCs/>
          <w:color w:val="auto"/>
          <w:sz w:val="22"/>
          <w:szCs w:val="22"/>
          <w:lang w:eastAsia="en-US" w:bidi="en-US"/>
        </w:rPr>
        <w:t>Graduation requirements</w:t>
      </w:r>
    </w:p>
    <w:p w14:paraId="16E345F8" w14:textId="77777777" w:rsidR="005F0005" w:rsidRPr="005F0005" w:rsidRDefault="005F0005" w:rsidP="005F0005">
      <w:pPr>
        <w:widowControl w:val="0"/>
        <w:tabs>
          <w:tab w:val="left" w:pos="5140"/>
        </w:tabs>
        <w:autoSpaceDE w:val="0"/>
        <w:autoSpaceDN w:val="0"/>
        <w:spacing w:before="1"/>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Internship required before graduation? Yes</w:t>
      </w:r>
      <w:r w:rsidRPr="005F0005">
        <w:rPr>
          <w:rFonts w:ascii="Calibri" w:eastAsia="Calibri" w:hAnsi="Calibri" w:cs="Calibri"/>
          <w:color w:val="auto"/>
          <w:spacing w:val="-15"/>
          <w:sz w:val="22"/>
          <w:szCs w:val="22"/>
          <w:lang w:eastAsia="en-US" w:bidi="en-US"/>
        </w:rPr>
        <w:t xml:space="preserve"> </w:t>
      </w:r>
      <w:r w:rsidRPr="005F0005">
        <w:rPr>
          <w:rFonts w:ascii="Calibri" w:eastAsia="Calibri" w:hAnsi="Calibri" w:cs="Calibri"/>
          <w:color w:val="auto"/>
          <w:sz w:val="22"/>
          <w:szCs w:val="22"/>
          <w:lang w:eastAsia="en-US" w:bidi="en-US"/>
        </w:rPr>
        <w:t>/ No</w:t>
      </w:r>
      <w:r w:rsidRPr="005F0005">
        <w:rPr>
          <w:rFonts w:ascii="Calibri" w:eastAsia="Calibri" w:hAnsi="Calibri" w:cs="Calibri"/>
          <w:color w:val="auto"/>
          <w:sz w:val="22"/>
          <w:szCs w:val="22"/>
          <w:lang w:eastAsia="en-US" w:bidi="en-US"/>
        </w:rPr>
        <w:tab/>
        <w:t>If yes, quarter</w:t>
      </w:r>
      <w:r w:rsidRPr="005F0005">
        <w:rPr>
          <w:rFonts w:ascii="Calibri" w:eastAsia="Calibri" w:hAnsi="Calibri" w:cs="Calibri"/>
          <w:color w:val="auto"/>
          <w:spacing w:val="-4"/>
          <w:sz w:val="22"/>
          <w:szCs w:val="22"/>
          <w:lang w:eastAsia="en-US" w:bidi="en-US"/>
        </w:rPr>
        <w:t xml:space="preserve"> </w:t>
      </w:r>
      <w:r w:rsidRPr="005F0005">
        <w:rPr>
          <w:rFonts w:ascii="Calibri" w:eastAsia="Calibri" w:hAnsi="Calibri" w:cs="Calibri"/>
          <w:color w:val="auto"/>
          <w:sz w:val="22"/>
          <w:szCs w:val="22"/>
          <w:lang w:eastAsia="en-US" w:bidi="en-US"/>
        </w:rPr>
        <w:t>completed:</w:t>
      </w:r>
    </w:p>
    <w:p w14:paraId="280000EE" w14:textId="77777777" w:rsidR="005F0005" w:rsidRPr="005F0005" w:rsidRDefault="005F0005" w:rsidP="005F0005">
      <w:pPr>
        <w:widowControl w:val="0"/>
        <w:autoSpaceDE w:val="0"/>
        <w:autoSpaceDN w:val="0"/>
        <w:spacing w:before="10"/>
        <w:rPr>
          <w:rFonts w:ascii="Calibri" w:eastAsia="Calibri" w:hAnsi="Calibri" w:cs="Calibri"/>
          <w:color w:val="auto"/>
          <w:sz w:val="21"/>
          <w:szCs w:val="22"/>
          <w:lang w:eastAsia="en-US" w:bidi="en-US"/>
        </w:rPr>
      </w:pPr>
    </w:p>
    <w:p w14:paraId="23306907" w14:textId="77777777" w:rsidR="005F0005" w:rsidRPr="005F0005" w:rsidRDefault="005F0005" w:rsidP="005F0005">
      <w:pPr>
        <w:ind w:left="1169" w:right="1147"/>
        <w:jc w:val="center"/>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2"/>
          <w:szCs w:val="24"/>
          <w:lang w:eastAsia="en-US"/>
        </w:rPr>
        <w:t xml:space="preserve">Core Required Courses </w:t>
      </w:r>
      <w:r w:rsidRPr="005F0005">
        <w:rPr>
          <w:rFonts w:ascii="Times New Roman" w:eastAsiaTheme="minorHAnsi" w:hAnsi="Times New Roman"/>
          <w:color w:val="auto"/>
          <w:sz w:val="22"/>
          <w:szCs w:val="24"/>
          <w:lang w:eastAsia="en-US"/>
        </w:rPr>
        <w:t>(28 credits total)</w:t>
      </w:r>
    </w:p>
    <w:p w14:paraId="1339FEB9" w14:textId="77777777" w:rsidR="005F0005" w:rsidRPr="005F0005" w:rsidRDefault="005F0005" w:rsidP="005F0005">
      <w:pPr>
        <w:widowControl w:val="0"/>
        <w:autoSpaceDE w:val="0"/>
        <w:autoSpaceDN w:val="0"/>
        <w:ind w:left="1172" w:right="1147"/>
        <w:jc w:val="center"/>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[learning lenses: path to sovereignty, ethics, economics, methodological inquiry]</w:t>
      </w:r>
    </w:p>
    <w:p w14:paraId="32EDB621" w14:textId="77777777" w:rsidR="005F0005" w:rsidRPr="005F0005" w:rsidRDefault="005F0005" w:rsidP="005F0005">
      <w:pPr>
        <w:ind w:left="100"/>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2"/>
          <w:szCs w:val="24"/>
          <w:lang w:eastAsia="en-US"/>
        </w:rPr>
        <w:t xml:space="preserve">First Year Core </w:t>
      </w:r>
      <w:r w:rsidRPr="005F0005">
        <w:rPr>
          <w:rFonts w:ascii="Times New Roman" w:eastAsiaTheme="minorHAnsi" w:hAnsi="Times New Roman"/>
          <w:color w:val="auto"/>
          <w:sz w:val="22"/>
          <w:szCs w:val="24"/>
          <w:lang w:eastAsia="en-US"/>
        </w:rPr>
        <w:t>(12 credits)</w:t>
      </w:r>
    </w:p>
    <w:p w14:paraId="6470EF4C" w14:textId="77777777" w:rsidR="005F0005" w:rsidRPr="005F0005" w:rsidRDefault="005F0005" w:rsidP="005F0005">
      <w:pPr>
        <w:widowControl w:val="0"/>
        <w:tabs>
          <w:tab w:val="left" w:pos="5861"/>
          <w:tab w:val="left" w:pos="8021"/>
        </w:tabs>
        <w:autoSpaceDE w:val="0"/>
        <w:autoSpaceDN w:val="0"/>
        <w:spacing w:before="1"/>
        <w:ind w:left="100"/>
        <w:rPr>
          <w:rFonts w:ascii="Calibri" w:eastAsia="Calibri" w:hAnsi="Calibri" w:cs="Calibri"/>
          <w:color w:val="auto"/>
          <w:sz w:val="22"/>
          <w:szCs w:val="22"/>
          <w:lang w:eastAsia="en-US" w:bidi="en-US"/>
        </w:rPr>
      </w:pPr>
      <w:r w:rsidRPr="005F0005">
        <w:rPr>
          <w:rFonts w:ascii="Calibri" w:eastAsia="Calibri" w:hAnsi="Calibri" w:cs="Calibri"/>
          <w:noProof/>
          <w:color w:val="auto"/>
          <w:sz w:val="22"/>
          <w:szCs w:val="22"/>
          <w:lang w:eastAsia="en-US"/>
        </w:rPr>
        <mc:AlternateContent>
          <mc:Choice Requires="wps">
            <w:drawing>
              <wp:anchor distT="0" distB="0" distL="114300" distR="114300" simplePos="0" relativeHeight="251659264" behindDoc="0" locked="0" layoutInCell="1" allowOverlap="1" wp14:anchorId="52B00580" wp14:editId="45CFE27B">
                <wp:simplePos x="0" y="0"/>
                <wp:positionH relativeFrom="page">
                  <wp:posOffset>914400</wp:posOffset>
                </wp:positionH>
                <wp:positionV relativeFrom="paragraph">
                  <wp:posOffset>153670</wp:posOffset>
                </wp:positionV>
                <wp:extent cx="5429885" cy="0"/>
                <wp:effectExtent l="9525" t="8255" r="889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3662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1pt" to="499.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G1Jw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" strokeweight=".72pt">
                <w10:wrap anchorx="page"/>
              </v:line>
            </w:pict>
          </mc:Fallback>
        </mc:AlternateContent>
      </w:r>
      <w:r w:rsidRPr="005F0005">
        <w:rPr>
          <w:rFonts w:ascii="Calibri" w:eastAsia="Calibri" w:hAnsi="Calibri" w:cs="Calibri"/>
          <w:color w:val="auto"/>
          <w:sz w:val="22"/>
          <w:szCs w:val="22"/>
          <w:lang w:eastAsia="en-US" w:bidi="en-US"/>
        </w:rPr>
        <w:t>Title</w:t>
      </w:r>
      <w:r w:rsidRPr="005F0005">
        <w:rPr>
          <w:rFonts w:ascii="Calibri" w:eastAsia="Calibri" w:hAnsi="Calibri" w:cs="Calibri"/>
          <w:color w:val="auto"/>
          <w:sz w:val="22"/>
          <w:szCs w:val="22"/>
          <w:lang w:eastAsia="en-US" w:bidi="en-US"/>
        </w:rPr>
        <w:tab/>
        <w:t>Quarter</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Completed</w:t>
      </w:r>
      <w:r w:rsidRPr="005F0005">
        <w:rPr>
          <w:rFonts w:ascii="Calibri" w:eastAsia="Calibri" w:hAnsi="Calibri" w:cs="Calibri"/>
          <w:color w:val="auto"/>
          <w:sz w:val="22"/>
          <w:szCs w:val="22"/>
          <w:lang w:eastAsia="en-US" w:bidi="en-US"/>
        </w:rPr>
        <w:tab/>
        <w:t>Credits</w:t>
      </w:r>
    </w:p>
    <w:p w14:paraId="5B99123F" w14:textId="77777777" w:rsidR="005F0005" w:rsidRPr="005F0005" w:rsidRDefault="005F0005" w:rsidP="005F0005">
      <w:pPr>
        <w:widowControl w:val="0"/>
        <w:tabs>
          <w:tab w:val="left" w:pos="5861"/>
          <w:tab w:val="right" w:pos="8133"/>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Critical Thought in Public, Tribal, &amp;</w:t>
      </w:r>
      <w:r w:rsidRPr="005F0005">
        <w:rPr>
          <w:rFonts w:ascii="Calibri" w:eastAsia="Calibri" w:hAnsi="Calibri" w:cs="Calibri"/>
          <w:color w:val="auto"/>
          <w:spacing w:val="-10"/>
          <w:sz w:val="22"/>
          <w:szCs w:val="22"/>
          <w:lang w:eastAsia="en-US" w:bidi="en-US"/>
        </w:rPr>
        <w:t xml:space="preserve"> </w:t>
      </w:r>
      <w:r w:rsidRPr="005F0005">
        <w:rPr>
          <w:rFonts w:ascii="Calibri" w:eastAsia="Calibri" w:hAnsi="Calibri" w:cs="Calibri"/>
          <w:color w:val="auto"/>
          <w:sz w:val="22"/>
          <w:szCs w:val="22"/>
          <w:lang w:eastAsia="en-US" w:bidi="en-US"/>
        </w:rPr>
        <w:t>Non-profit</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Administration</w:t>
      </w:r>
      <w:r w:rsidRPr="005F0005">
        <w:rPr>
          <w:rFonts w:ascii="Calibri" w:eastAsia="Calibri" w:hAnsi="Calibri" w:cs="Calibri"/>
          <w:color w:val="auto"/>
          <w:sz w:val="22"/>
          <w:szCs w:val="22"/>
          <w:lang w:eastAsia="en-US" w:bidi="en-US"/>
        </w:rPr>
        <w:tab/>
        <w:t>(Fall)</w:t>
      </w:r>
      <w:r w:rsidRPr="005F0005">
        <w:rPr>
          <w:rFonts w:ascii="Calibri" w:eastAsia="Calibri" w:hAnsi="Calibri" w:cs="Calibri"/>
          <w:color w:val="auto"/>
          <w:sz w:val="22"/>
          <w:szCs w:val="22"/>
          <w:lang w:eastAsia="en-US" w:bidi="en-US"/>
        </w:rPr>
        <w:tab/>
        <w:t>4</w:t>
      </w:r>
    </w:p>
    <w:p w14:paraId="1A5DDA59" w14:textId="77777777" w:rsidR="005F0005" w:rsidRPr="005F0005" w:rsidRDefault="005F0005" w:rsidP="005F0005">
      <w:pPr>
        <w:widowControl w:val="0"/>
        <w:tabs>
          <w:tab w:val="left" w:pos="5861"/>
          <w:tab w:val="right" w:pos="8133"/>
        </w:tabs>
        <w:autoSpaceDE w:val="0"/>
        <w:autoSpaceDN w:val="0"/>
        <w:spacing w:before="1"/>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Public, Tribal, &amp; Non-profit Administration</w:t>
      </w:r>
      <w:r w:rsidRPr="005F0005">
        <w:rPr>
          <w:rFonts w:ascii="Calibri" w:eastAsia="Calibri" w:hAnsi="Calibri" w:cs="Calibri"/>
          <w:color w:val="auto"/>
          <w:spacing w:val="-12"/>
          <w:sz w:val="22"/>
          <w:szCs w:val="22"/>
          <w:lang w:eastAsia="en-US" w:bidi="en-US"/>
        </w:rPr>
        <w:t xml:space="preserve"> </w:t>
      </w:r>
      <w:r w:rsidRPr="005F0005">
        <w:rPr>
          <w:rFonts w:ascii="Calibri" w:eastAsia="Calibri" w:hAnsi="Calibri" w:cs="Calibri"/>
          <w:color w:val="auto"/>
          <w:sz w:val="22"/>
          <w:szCs w:val="22"/>
          <w:lang w:eastAsia="en-US" w:bidi="en-US"/>
        </w:rPr>
        <w:t>in</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Action</w:t>
      </w:r>
      <w:r w:rsidRPr="005F0005">
        <w:rPr>
          <w:rFonts w:ascii="Calibri" w:eastAsia="Calibri" w:hAnsi="Calibri" w:cs="Calibri"/>
          <w:color w:val="auto"/>
          <w:sz w:val="22"/>
          <w:szCs w:val="22"/>
          <w:lang w:eastAsia="en-US" w:bidi="en-US"/>
        </w:rPr>
        <w:tab/>
        <w:t>(Winter)</w:t>
      </w:r>
      <w:r w:rsidRPr="005F0005">
        <w:rPr>
          <w:rFonts w:ascii="Calibri" w:eastAsia="Calibri" w:hAnsi="Calibri" w:cs="Calibri"/>
          <w:color w:val="auto"/>
          <w:sz w:val="22"/>
          <w:szCs w:val="22"/>
          <w:lang w:eastAsia="en-US" w:bidi="en-US"/>
        </w:rPr>
        <w:tab/>
        <w:t>4</w:t>
      </w:r>
    </w:p>
    <w:p w14:paraId="1D8E4B8C" w14:textId="77777777" w:rsidR="005F0005" w:rsidRPr="005F0005" w:rsidRDefault="005F0005" w:rsidP="005F0005">
      <w:pPr>
        <w:widowControl w:val="0"/>
        <w:tabs>
          <w:tab w:val="right" w:pos="8133"/>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Finance &amp; Budgets in Public, Tribal, &amp; Non-profit</w:t>
      </w:r>
      <w:r w:rsidRPr="005F0005">
        <w:rPr>
          <w:rFonts w:ascii="Calibri" w:eastAsia="Calibri" w:hAnsi="Calibri" w:cs="Calibri"/>
          <w:color w:val="auto"/>
          <w:spacing w:val="-5"/>
          <w:sz w:val="22"/>
          <w:szCs w:val="22"/>
          <w:lang w:eastAsia="en-US" w:bidi="en-US"/>
        </w:rPr>
        <w:t xml:space="preserve"> </w:t>
      </w:r>
      <w:r w:rsidRPr="005F0005">
        <w:rPr>
          <w:rFonts w:ascii="Calibri" w:eastAsia="Calibri" w:hAnsi="Calibri" w:cs="Calibri"/>
          <w:color w:val="auto"/>
          <w:sz w:val="22"/>
          <w:szCs w:val="22"/>
          <w:lang w:eastAsia="en-US" w:bidi="en-US"/>
        </w:rPr>
        <w:t>Administration</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(Spring)</w:t>
      </w:r>
      <w:r w:rsidRPr="005F0005">
        <w:rPr>
          <w:rFonts w:ascii="Calibri" w:eastAsia="Calibri" w:hAnsi="Calibri" w:cs="Calibri"/>
          <w:color w:val="auto"/>
          <w:sz w:val="22"/>
          <w:szCs w:val="22"/>
          <w:lang w:eastAsia="en-US" w:bidi="en-US"/>
        </w:rPr>
        <w:tab/>
        <w:t>4</w:t>
      </w:r>
    </w:p>
    <w:p w14:paraId="76F4EAB6" w14:textId="77777777" w:rsidR="005F0005" w:rsidRPr="005F0005" w:rsidRDefault="005F0005" w:rsidP="005F0005">
      <w:pPr>
        <w:spacing w:before="267"/>
        <w:ind w:left="100"/>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2"/>
          <w:szCs w:val="24"/>
          <w:lang w:eastAsia="en-US"/>
        </w:rPr>
        <w:t xml:space="preserve">Second Year Core </w:t>
      </w:r>
      <w:r w:rsidRPr="005F0005">
        <w:rPr>
          <w:rFonts w:ascii="Times New Roman" w:eastAsiaTheme="minorHAnsi" w:hAnsi="Times New Roman"/>
          <w:color w:val="auto"/>
          <w:sz w:val="22"/>
          <w:szCs w:val="24"/>
          <w:lang w:eastAsia="en-US"/>
        </w:rPr>
        <w:t>(12 credits)</w:t>
      </w:r>
    </w:p>
    <w:p w14:paraId="2CDD3271" w14:textId="77777777" w:rsidR="005F0005" w:rsidRPr="005F0005" w:rsidRDefault="005F0005" w:rsidP="005F0005">
      <w:pPr>
        <w:widowControl w:val="0"/>
        <w:tabs>
          <w:tab w:val="left" w:pos="5861"/>
          <w:tab w:val="left" w:pos="8021"/>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noProof/>
          <w:color w:val="auto"/>
          <w:sz w:val="22"/>
          <w:szCs w:val="22"/>
          <w:lang w:eastAsia="en-US"/>
        </w:rPr>
        <mc:AlternateContent>
          <mc:Choice Requires="wps">
            <w:drawing>
              <wp:anchor distT="0" distB="0" distL="114300" distR="114300" simplePos="0" relativeHeight="251660288" behindDoc="0" locked="0" layoutInCell="1" allowOverlap="1" wp14:anchorId="53306BF6" wp14:editId="03AAB00F">
                <wp:simplePos x="0" y="0"/>
                <wp:positionH relativeFrom="page">
                  <wp:posOffset>914400</wp:posOffset>
                </wp:positionH>
                <wp:positionV relativeFrom="paragraph">
                  <wp:posOffset>153035</wp:posOffset>
                </wp:positionV>
                <wp:extent cx="5429885" cy="0"/>
                <wp:effectExtent l="9525" t="12065" r="889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B91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49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" strokeweight=".72pt">
                <w10:wrap anchorx="page"/>
              </v:line>
            </w:pict>
          </mc:Fallback>
        </mc:AlternateContent>
      </w:r>
      <w:r w:rsidRPr="005F0005">
        <w:rPr>
          <w:rFonts w:ascii="Calibri" w:eastAsia="Calibri" w:hAnsi="Calibri" w:cs="Calibri"/>
          <w:color w:val="auto"/>
          <w:sz w:val="22"/>
          <w:szCs w:val="22"/>
          <w:lang w:eastAsia="en-US" w:bidi="en-US"/>
        </w:rPr>
        <w:t>Title</w:t>
      </w:r>
      <w:r w:rsidRPr="005F0005">
        <w:rPr>
          <w:rFonts w:ascii="Calibri" w:eastAsia="Calibri" w:hAnsi="Calibri" w:cs="Calibri"/>
          <w:color w:val="auto"/>
          <w:sz w:val="22"/>
          <w:szCs w:val="22"/>
          <w:lang w:eastAsia="en-US" w:bidi="en-US"/>
        </w:rPr>
        <w:tab/>
        <w:t>Quarter</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Completed</w:t>
      </w:r>
      <w:r w:rsidRPr="005F0005">
        <w:rPr>
          <w:rFonts w:ascii="Calibri" w:eastAsia="Calibri" w:hAnsi="Calibri" w:cs="Calibri"/>
          <w:color w:val="auto"/>
          <w:sz w:val="22"/>
          <w:szCs w:val="22"/>
          <w:lang w:eastAsia="en-US" w:bidi="en-US"/>
        </w:rPr>
        <w:tab/>
        <w:t>Credits</w:t>
      </w:r>
    </w:p>
    <w:p w14:paraId="3CE4E94D" w14:textId="77777777" w:rsidR="005F0005" w:rsidRPr="005F0005" w:rsidRDefault="005F0005" w:rsidP="005F0005">
      <w:pPr>
        <w:widowControl w:val="0"/>
        <w:tabs>
          <w:tab w:val="left" w:pos="5861"/>
          <w:tab w:val="right" w:pos="8133"/>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Analytical Techniques for Public</w:t>
      </w:r>
      <w:r w:rsidRPr="005F0005">
        <w:rPr>
          <w:rFonts w:ascii="Calibri" w:eastAsia="Calibri" w:hAnsi="Calibri" w:cs="Calibri"/>
          <w:color w:val="auto"/>
          <w:spacing w:val="-7"/>
          <w:sz w:val="22"/>
          <w:szCs w:val="22"/>
          <w:lang w:eastAsia="en-US" w:bidi="en-US"/>
        </w:rPr>
        <w:t xml:space="preserve"> </w:t>
      </w:r>
      <w:r w:rsidRPr="005F0005">
        <w:rPr>
          <w:rFonts w:ascii="Calibri" w:eastAsia="Calibri" w:hAnsi="Calibri" w:cs="Calibri"/>
          <w:color w:val="auto"/>
          <w:sz w:val="22"/>
          <w:szCs w:val="22"/>
          <w:lang w:eastAsia="en-US" w:bidi="en-US"/>
        </w:rPr>
        <w:t>Service</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I</w:t>
      </w:r>
      <w:r w:rsidRPr="005F0005">
        <w:rPr>
          <w:rFonts w:ascii="Calibri" w:eastAsia="Calibri" w:hAnsi="Calibri" w:cs="Calibri"/>
          <w:color w:val="auto"/>
          <w:sz w:val="22"/>
          <w:szCs w:val="22"/>
          <w:lang w:eastAsia="en-US" w:bidi="en-US"/>
        </w:rPr>
        <w:tab/>
        <w:t>(Fall)</w:t>
      </w:r>
      <w:r w:rsidRPr="005F0005">
        <w:rPr>
          <w:rFonts w:ascii="Calibri" w:eastAsia="Calibri" w:hAnsi="Calibri" w:cs="Calibri"/>
          <w:color w:val="auto"/>
          <w:sz w:val="22"/>
          <w:szCs w:val="22"/>
          <w:lang w:eastAsia="en-US" w:bidi="en-US"/>
        </w:rPr>
        <w:tab/>
        <w:t>4</w:t>
      </w:r>
    </w:p>
    <w:p w14:paraId="34D6F70E" w14:textId="77777777" w:rsidR="005F0005" w:rsidRPr="005F0005" w:rsidRDefault="005F0005" w:rsidP="005F0005">
      <w:pPr>
        <w:widowControl w:val="0"/>
        <w:tabs>
          <w:tab w:val="left" w:pos="5861"/>
          <w:tab w:val="right" w:pos="8133"/>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Analytical Techniques for Public</w:t>
      </w:r>
      <w:r w:rsidRPr="005F0005">
        <w:rPr>
          <w:rFonts w:ascii="Calibri" w:eastAsia="Calibri" w:hAnsi="Calibri" w:cs="Calibri"/>
          <w:color w:val="auto"/>
          <w:spacing w:val="-7"/>
          <w:sz w:val="22"/>
          <w:szCs w:val="22"/>
          <w:lang w:eastAsia="en-US" w:bidi="en-US"/>
        </w:rPr>
        <w:t xml:space="preserve"> </w:t>
      </w:r>
      <w:r w:rsidRPr="005F0005">
        <w:rPr>
          <w:rFonts w:ascii="Calibri" w:eastAsia="Calibri" w:hAnsi="Calibri" w:cs="Calibri"/>
          <w:color w:val="auto"/>
          <w:sz w:val="22"/>
          <w:szCs w:val="22"/>
          <w:lang w:eastAsia="en-US" w:bidi="en-US"/>
        </w:rPr>
        <w:t>Service</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II</w:t>
      </w:r>
      <w:r w:rsidRPr="005F0005">
        <w:rPr>
          <w:rFonts w:ascii="Calibri" w:eastAsia="Calibri" w:hAnsi="Calibri" w:cs="Calibri"/>
          <w:color w:val="auto"/>
          <w:sz w:val="22"/>
          <w:szCs w:val="22"/>
          <w:lang w:eastAsia="en-US" w:bidi="en-US"/>
        </w:rPr>
        <w:tab/>
        <w:t>(Winter)</w:t>
      </w:r>
      <w:r w:rsidRPr="005F0005">
        <w:rPr>
          <w:rFonts w:ascii="Calibri" w:eastAsia="Calibri" w:hAnsi="Calibri" w:cs="Calibri"/>
          <w:color w:val="auto"/>
          <w:sz w:val="22"/>
          <w:szCs w:val="22"/>
          <w:lang w:eastAsia="en-US" w:bidi="en-US"/>
        </w:rPr>
        <w:tab/>
        <w:t>4</w:t>
      </w:r>
    </w:p>
    <w:p w14:paraId="35D0A3E3" w14:textId="77777777" w:rsidR="005F0005" w:rsidRPr="005F0005" w:rsidRDefault="005F0005" w:rsidP="005F0005">
      <w:pPr>
        <w:widowControl w:val="0"/>
        <w:tabs>
          <w:tab w:val="left" w:pos="5861"/>
          <w:tab w:val="right" w:pos="8133"/>
        </w:tabs>
        <w:autoSpaceDE w:val="0"/>
        <w:autoSpaceDN w:val="0"/>
        <w:spacing w:before="1"/>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Analytical Techniques for Public</w:t>
      </w:r>
      <w:r w:rsidRPr="005F0005">
        <w:rPr>
          <w:rFonts w:ascii="Calibri" w:eastAsia="Calibri" w:hAnsi="Calibri" w:cs="Calibri"/>
          <w:color w:val="auto"/>
          <w:spacing w:val="-9"/>
          <w:sz w:val="22"/>
          <w:szCs w:val="22"/>
          <w:lang w:eastAsia="en-US" w:bidi="en-US"/>
        </w:rPr>
        <w:t xml:space="preserve"> </w:t>
      </w:r>
      <w:r w:rsidRPr="005F0005">
        <w:rPr>
          <w:rFonts w:ascii="Calibri" w:eastAsia="Calibri" w:hAnsi="Calibri" w:cs="Calibri"/>
          <w:color w:val="auto"/>
          <w:sz w:val="22"/>
          <w:szCs w:val="22"/>
          <w:lang w:eastAsia="en-US" w:bidi="en-US"/>
        </w:rPr>
        <w:t>Service III</w:t>
      </w:r>
      <w:r w:rsidRPr="005F0005">
        <w:rPr>
          <w:rFonts w:ascii="Calibri" w:eastAsia="Calibri" w:hAnsi="Calibri" w:cs="Calibri"/>
          <w:color w:val="auto"/>
          <w:sz w:val="22"/>
          <w:szCs w:val="22"/>
          <w:lang w:eastAsia="en-US" w:bidi="en-US"/>
        </w:rPr>
        <w:tab/>
        <w:t>(Spring)</w:t>
      </w:r>
      <w:r w:rsidRPr="005F0005">
        <w:rPr>
          <w:rFonts w:ascii="Calibri" w:eastAsia="Calibri" w:hAnsi="Calibri" w:cs="Calibri"/>
          <w:color w:val="auto"/>
          <w:sz w:val="22"/>
          <w:szCs w:val="22"/>
          <w:lang w:eastAsia="en-US" w:bidi="en-US"/>
        </w:rPr>
        <w:tab/>
        <w:t>4</w:t>
      </w:r>
    </w:p>
    <w:p w14:paraId="202C001A" w14:textId="77777777" w:rsidR="005F0005" w:rsidRPr="005F0005" w:rsidRDefault="005F0005" w:rsidP="005F0005">
      <w:pPr>
        <w:tabs>
          <w:tab w:val="left" w:pos="5861"/>
          <w:tab w:val="right" w:pos="8133"/>
        </w:tabs>
        <w:spacing w:before="269"/>
        <w:ind w:left="100"/>
        <w:rPr>
          <w:rFonts w:ascii="Times New Roman" w:eastAsiaTheme="minorHAnsi" w:hAnsi="Times New Roman"/>
          <w:color w:val="auto"/>
          <w:sz w:val="24"/>
          <w:szCs w:val="24"/>
          <w:lang w:eastAsia="en-US"/>
        </w:rPr>
      </w:pPr>
      <w:r w:rsidRPr="005F0005">
        <w:rPr>
          <w:rFonts w:ascii="Times New Roman" w:eastAsiaTheme="minorHAnsi" w:hAnsi="Times New Roman"/>
          <w:noProof/>
          <w:color w:val="auto"/>
          <w:sz w:val="24"/>
          <w:szCs w:val="24"/>
          <w:lang w:eastAsia="en-US"/>
        </w:rPr>
        <mc:AlternateContent>
          <mc:Choice Requires="wps">
            <w:drawing>
              <wp:anchor distT="0" distB="0" distL="114300" distR="114300" simplePos="0" relativeHeight="251661312" behindDoc="0" locked="0" layoutInCell="1" allowOverlap="1" wp14:anchorId="4630F44F" wp14:editId="5F1951C4">
                <wp:simplePos x="0" y="0"/>
                <wp:positionH relativeFrom="page">
                  <wp:posOffset>914400</wp:posOffset>
                </wp:positionH>
                <wp:positionV relativeFrom="paragraph">
                  <wp:posOffset>153670</wp:posOffset>
                </wp:positionV>
                <wp:extent cx="5496560" cy="1270"/>
                <wp:effectExtent l="9525" t="9525" r="8890" b="825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270"/>
                        </a:xfrm>
                        <a:custGeom>
                          <a:avLst/>
                          <a:gdLst>
                            <a:gd name="T0" fmla="+- 0 1440 1440"/>
                            <a:gd name="T1" fmla="*/ T0 w 8656"/>
                            <a:gd name="T2" fmla="+- 0 7134 1440"/>
                            <a:gd name="T3" fmla="*/ T2 w 8656"/>
                            <a:gd name="T4" fmla="+- 0 7139 1440"/>
                            <a:gd name="T5" fmla="*/ T4 w 8656"/>
                            <a:gd name="T6" fmla="+- 0 10096 1440"/>
                            <a:gd name="T7" fmla="*/ T6 w 8656"/>
                          </a:gdLst>
                          <a:ahLst/>
                          <a:cxnLst>
                            <a:cxn ang="0">
                              <a:pos x="T1" y="0"/>
                            </a:cxn>
                            <a:cxn ang="0">
                              <a:pos x="T3" y="0"/>
                            </a:cxn>
                            <a:cxn ang="0">
                              <a:pos x="T5" y="0"/>
                            </a:cxn>
                            <a:cxn ang="0">
                              <a:pos x="T7" y="0"/>
                            </a:cxn>
                          </a:cxnLst>
                          <a:rect l="0" t="0" r="r" b="b"/>
                          <a:pathLst>
                            <a:path w="8656">
                              <a:moveTo>
                                <a:pt x="0" y="0"/>
                              </a:moveTo>
                              <a:lnTo>
                                <a:pt x="5694" y="0"/>
                              </a:lnTo>
                              <a:moveTo>
                                <a:pt x="5699" y="0"/>
                              </a:moveTo>
                              <a:lnTo>
                                <a:pt x="865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FC3A" id="Freeform 3" o:spid="_x0000_s1026" style="position:absolute;margin-left:1in;margin-top:12.1pt;width:432.8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" path="m,l5694,t5,l8656,e" filled="f" strokeweight=".25292mm">
                <v:path arrowok="t" o:connecttype="custom" o:connectlocs="0,0;3615690,0;3618865,0;5496560,0" o:connectangles="0,0,0,0"/>
                <w10:wrap anchorx="page"/>
              </v:shape>
            </w:pict>
          </mc:Fallback>
        </mc:AlternateContent>
      </w:r>
      <w:r w:rsidRPr="005F0005">
        <w:rPr>
          <w:rFonts w:ascii="Times New Roman" w:eastAsiaTheme="minorHAnsi" w:hAnsi="Times New Roman"/>
          <w:b/>
          <w:color w:val="auto"/>
          <w:sz w:val="22"/>
          <w:szCs w:val="24"/>
          <w:lang w:eastAsia="en-US"/>
        </w:rPr>
        <w:t>Capstone</w:t>
      </w:r>
      <w:r w:rsidRPr="005F0005">
        <w:rPr>
          <w:rFonts w:ascii="Times New Roman" w:eastAsiaTheme="minorHAnsi" w:hAnsi="Times New Roman"/>
          <w:b/>
          <w:color w:val="auto"/>
          <w:spacing w:val="-1"/>
          <w:sz w:val="22"/>
          <w:szCs w:val="24"/>
          <w:lang w:eastAsia="en-US"/>
        </w:rPr>
        <w:t xml:space="preserve"> </w:t>
      </w:r>
      <w:r w:rsidRPr="005F0005">
        <w:rPr>
          <w:rFonts w:ascii="Times New Roman" w:eastAsiaTheme="minorHAnsi" w:hAnsi="Times New Roman"/>
          <w:color w:val="auto"/>
          <w:sz w:val="22"/>
          <w:szCs w:val="24"/>
          <w:lang w:eastAsia="en-US"/>
        </w:rPr>
        <w:t>(4</w:t>
      </w:r>
      <w:r w:rsidRPr="005F0005">
        <w:rPr>
          <w:rFonts w:ascii="Times New Roman" w:eastAsiaTheme="minorHAnsi" w:hAnsi="Times New Roman"/>
          <w:color w:val="auto"/>
          <w:spacing w:val="-1"/>
          <w:sz w:val="22"/>
          <w:szCs w:val="24"/>
          <w:lang w:eastAsia="en-US"/>
        </w:rPr>
        <w:t xml:space="preserve"> </w:t>
      </w:r>
      <w:r w:rsidRPr="005F0005">
        <w:rPr>
          <w:rFonts w:ascii="Times New Roman" w:eastAsiaTheme="minorHAnsi" w:hAnsi="Times New Roman"/>
          <w:color w:val="auto"/>
          <w:sz w:val="22"/>
          <w:szCs w:val="24"/>
          <w:lang w:eastAsia="en-US"/>
        </w:rPr>
        <w:t>credits)</w:t>
      </w:r>
      <w:r w:rsidRPr="005F0005">
        <w:rPr>
          <w:rFonts w:ascii="Times New Roman" w:eastAsiaTheme="minorHAnsi" w:hAnsi="Times New Roman"/>
          <w:color w:val="auto"/>
          <w:sz w:val="22"/>
          <w:szCs w:val="24"/>
          <w:lang w:eastAsia="en-US"/>
        </w:rPr>
        <w:tab/>
        <w:t>(Spring)</w:t>
      </w:r>
      <w:r w:rsidRPr="005F0005">
        <w:rPr>
          <w:rFonts w:ascii="Times New Roman" w:eastAsiaTheme="minorHAnsi" w:hAnsi="Times New Roman"/>
          <w:color w:val="auto"/>
          <w:sz w:val="22"/>
          <w:szCs w:val="24"/>
          <w:lang w:eastAsia="en-US"/>
        </w:rPr>
        <w:tab/>
        <w:t>4</w:t>
      </w:r>
    </w:p>
    <w:p w14:paraId="530CA79B" w14:textId="77777777" w:rsidR="005F0005" w:rsidRPr="005F0005" w:rsidRDefault="005F0005" w:rsidP="005F0005">
      <w:pPr>
        <w:widowControl w:val="0"/>
        <w:autoSpaceDE w:val="0"/>
        <w:autoSpaceDN w:val="0"/>
        <w:rPr>
          <w:rFonts w:ascii="Calibri" w:eastAsia="Calibri" w:hAnsi="Calibri" w:cs="Calibri"/>
          <w:color w:val="auto"/>
          <w:sz w:val="22"/>
          <w:szCs w:val="22"/>
          <w:lang w:eastAsia="en-US" w:bidi="en-US"/>
        </w:rPr>
      </w:pPr>
    </w:p>
    <w:p w14:paraId="2786CE0F" w14:textId="77777777" w:rsidR="005F0005" w:rsidRPr="005F0005" w:rsidRDefault="005F0005" w:rsidP="005F0005">
      <w:pPr>
        <w:ind w:left="1679"/>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2"/>
          <w:szCs w:val="24"/>
          <w:lang w:eastAsia="en-US"/>
        </w:rPr>
        <w:t xml:space="preserve">Concentration Required Courses </w:t>
      </w:r>
      <w:r w:rsidRPr="005F0005">
        <w:rPr>
          <w:rFonts w:ascii="Times New Roman" w:eastAsiaTheme="minorHAnsi" w:hAnsi="Times New Roman"/>
          <w:color w:val="auto"/>
          <w:sz w:val="22"/>
          <w:szCs w:val="24"/>
          <w:lang w:eastAsia="en-US"/>
        </w:rPr>
        <w:t>(12 credits total per concentration):</w:t>
      </w:r>
      <w:r w:rsidRPr="005F0005">
        <w:rPr>
          <w:rFonts w:ascii="Times New Roman" w:eastAsiaTheme="minorHAnsi" w:hAnsi="Times New Roman"/>
          <w:color w:val="auto"/>
          <w:sz w:val="22"/>
          <w:szCs w:val="24"/>
          <w:vertAlign w:val="superscript"/>
          <w:lang w:eastAsia="en-US"/>
        </w:rPr>
        <w:footnoteReference w:id="2"/>
      </w:r>
    </w:p>
    <w:p w14:paraId="799BECBD" w14:textId="77777777" w:rsidR="005F0005" w:rsidRPr="005F0005" w:rsidRDefault="005F0005" w:rsidP="005F0005">
      <w:pPr>
        <w:widowControl w:val="0"/>
        <w:autoSpaceDE w:val="0"/>
        <w:autoSpaceDN w:val="0"/>
        <w:spacing w:line="268" w:lineRule="exact"/>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*students may enroll in more than one concentration</w:t>
      </w:r>
    </w:p>
    <w:p w14:paraId="6DD5FFF3" w14:textId="77777777" w:rsidR="005F0005" w:rsidRPr="005F0005" w:rsidRDefault="005F0005" w:rsidP="005F0005">
      <w:pPr>
        <w:widowControl w:val="0"/>
        <w:tabs>
          <w:tab w:val="left" w:pos="5861"/>
          <w:tab w:val="left" w:pos="8021"/>
        </w:tabs>
        <w:autoSpaceDE w:val="0"/>
        <w:autoSpaceDN w:val="0"/>
        <w:spacing w:line="268" w:lineRule="exact"/>
        <w:ind w:left="100"/>
        <w:rPr>
          <w:rFonts w:ascii="Calibri" w:eastAsia="Calibri" w:hAnsi="Calibri" w:cs="Calibri"/>
          <w:color w:val="auto"/>
          <w:sz w:val="22"/>
          <w:szCs w:val="22"/>
          <w:lang w:eastAsia="en-US" w:bidi="en-US"/>
        </w:rPr>
      </w:pPr>
      <w:r w:rsidRPr="005F0005">
        <w:rPr>
          <w:rFonts w:ascii="Calibri" w:eastAsia="Calibri" w:hAnsi="Calibri" w:cs="Calibri"/>
          <w:noProof/>
          <w:color w:val="auto"/>
          <w:sz w:val="22"/>
          <w:szCs w:val="22"/>
          <w:lang w:eastAsia="en-US"/>
        </w:rPr>
        <mc:AlternateContent>
          <mc:Choice Requires="wps">
            <w:drawing>
              <wp:anchor distT="0" distB="0" distL="114300" distR="114300" simplePos="0" relativeHeight="251662336" behindDoc="0" locked="0" layoutInCell="1" allowOverlap="1" wp14:anchorId="6962A896" wp14:editId="08EA8146">
                <wp:simplePos x="0" y="0"/>
                <wp:positionH relativeFrom="page">
                  <wp:posOffset>914400</wp:posOffset>
                </wp:positionH>
                <wp:positionV relativeFrom="paragraph">
                  <wp:posOffset>152400</wp:posOffset>
                </wp:positionV>
                <wp:extent cx="5429885" cy="0"/>
                <wp:effectExtent l="9525"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3870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pt" to="49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wnJw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" strokeweight=".72pt">
                <w10:wrap anchorx="page"/>
              </v:line>
            </w:pict>
          </mc:Fallback>
        </mc:AlternateContent>
      </w:r>
      <w:r w:rsidRPr="005F0005">
        <w:rPr>
          <w:rFonts w:ascii="Calibri" w:eastAsia="Calibri" w:hAnsi="Calibri" w:cs="Calibri"/>
          <w:color w:val="auto"/>
          <w:sz w:val="22"/>
          <w:szCs w:val="22"/>
          <w:lang w:eastAsia="en-US" w:bidi="en-US"/>
        </w:rPr>
        <w:t>Title</w:t>
      </w:r>
      <w:r w:rsidRPr="005F0005">
        <w:rPr>
          <w:rFonts w:ascii="Calibri" w:eastAsia="Calibri" w:hAnsi="Calibri" w:cs="Calibri"/>
          <w:color w:val="auto"/>
          <w:sz w:val="22"/>
          <w:szCs w:val="22"/>
          <w:lang w:eastAsia="en-US" w:bidi="en-US"/>
        </w:rPr>
        <w:tab/>
        <w:t>Quarter</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Completed</w:t>
      </w:r>
      <w:r w:rsidRPr="005F0005">
        <w:rPr>
          <w:rFonts w:ascii="Calibri" w:eastAsia="Calibri" w:hAnsi="Calibri" w:cs="Calibri"/>
          <w:color w:val="auto"/>
          <w:sz w:val="22"/>
          <w:szCs w:val="22"/>
          <w:lang w:eastAsia="en-US" w:bidi="en-US"/>
        </w:rPr>
        <w:tab/>
        <w:t>Credits</w:t>
      </w:r>
    </w:p>
    <w:p w14:paraId="45C8FFB1" w14:textId="77777777" w:rsidR="005F0005" w:rsidRPr="005F0005" w:rsidRDefault="005F0005" w:rsidP="005F0005">
      <w:pPr>
        <w:widowControl w:val="0"/>
        <w:autoSpaceDE w:val="0"/>
        <w:autoSpaceDN w:val="0"/>
        <w:spacing w:before="1"/>
        <w:ind w:left="100"/>
        <w:outlineLvl w:val="0"/>
        <w:rPr>
          <w:rFonts w:ascii="Calibri" w:eastAsia="Calibri" w:hAnsi="Calibri" w:cs="Calibri"/>
          <w:b/>
          <w:bCs/>
          <w:color w:val="auto"/>
          <w:sz w:val="22"/>
          <w:szCs w:val="22"/>
          <w:lang w:eastAsia="en-US" w:bidi="en-US"/>
        </w:rPr>
      </w:pPr>
      <w:r w:rsidRPr="005F0005">
        <w:rPr>
          <w:rFonts w:ascii="Calibri" w:eastAsia="Calibri" w:hAnsi="Calibri" w:cs="Calibri"/>
          <w:b/>
          <w:bCs/>
          <w:color w:val="auto"/>
          <w:sz w:val="22"/>
          <w:szCs w:val="22"/>
          <w:lang w:eastAsia="en-US" w:bidi="en-US"/>
        </w:rPr>
        <w:t>Tribal Governance Concentration</w:t>
      </w:r>
    </w:p>
    <w:p w14:paraId="4B06113A" w14:textId="77777777" w:rsidR="005F0005" w:rsidRPr="005F0005" w:rsidRDefault="005F0005" w:rsidP="005F0005">
      <w:pPr>
        <w:widowControl w:val="0"/>
        <w:tabs>
          <w:tab w:val="right" w:pos="8133"/>
        </w:tabs>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Tribal</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Management</w:t>
      </w:r>
      <w:r w:rsidRPr="005F0005">
        <w:rPr>
          <w:rFonts w:ascii="Calibri" w:eastAsia="Calibri" w:hAnsi="Calibri" w:cs="Calibri"/>
          <w:color w:val="auto"/>
          <w:sz w:val="22"/>
          <w:szCs w:val="22"/>
          <w:lang w:eastAsia="en-US" w:bidi="en-US"/>
        </w:rPr>
        <w:tab/>
        <w:t>4</w:t>
      </w:r>
    </w:p>
    <w:p w14:paraId="42CFB570" w14:textId="77777777" w:rsidR="005F0005" w:rsidRPr="005F0005" w:rsidRDefault="005F0005" w:rsidP="005F0005">
      <w:pPr>
        <w:widowControl w:val="0"/>
        <w:tabs>
          <w:tab w:val="right" w:pos="8133"/>
        </w:tabs>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Tribal</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Finance</w:t>
      </w:r>
      <w:r w:rsidRPr="005F0005">
        <w:rPr>
          <w:rFonts w:ascii="Calibri" w:eastAsia="Calibri" w:hAnsi="Calibri" w:cs="Calibri"/>
          <w:color w:val="auto"/>
          <w:sz w:val="22"/>
          <w:szCs w:val="22"/>
          <w:lang w:eastAsia="en-US" w:bidi="en-US"/>
        </w:rPr>
        <w:tab/>
        <w:t>4</w:t>
      </w:r>
    </w:p>
    <w:p w14:paraId="35705B96" w14:textId="77777777" w:rsidR="005F0005" w:rsidRPr="005F0005" w:rsidRDefault="005F0005" w:rsidP="005F0005">
      <w:pPr>
        <w:widowControl w:val="0"/>
        <w:tabs>
          <w:tab w:val="right" w:pos="8133"/>
        </w:tabs>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Tribal</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Law</w:t>
      </w:r>
      <w:r w:rsidRPr="005F0005">
        <w:rPr>
          <w:rFonts w:ascii="Calibri" w:eastAsia="Calibri" w:hAnsi="Calibri" w:cs="Calibri"/>
          <w:color w:val="auto"/>
          <w:sz w:val="22"/>
          <w:szCs w:val="22"/>
          <w:lang w:eastAsia="en-US" w:bidi="en-US"/>
        </w:rPr>
        <w:tab/>
        <w:t>4</w:t>
      </w:r>
    </w:p>
    <w:p w14:paraId="3276516D" w14:textId="77777777" w:rsidR="005F0005" w:rsidRPr="005F0005" w:rsidRDefault="005F0005" w:rsidP="005F0005">
      <w:pPr>
        <w:widowControl w:val="0"/>
        <w:autoSpaceDE w:val="0"/>
        <w:autoSpaceDN w:val="0"/>
        <w:spacing w:before="1"/>
        <w:ind w:left="100"/>
        <w:outlineLvl w:val="0"/>
        <w:rPr>
          <w:rFonts w:ascii="Calibri" w:eastAsia="Calibri" w:hAnsi="Calibri" w:cs="Calibri"/>
          <w:b/>
          <w:bCs/>
          <w:color w:val="auto"/>
          <w:sz w:val="22"/>
          <w:szCs w:val="22"/>
          <w:lang w:eastAsia="en-US" w:bidi="en-US"/>
        </w:rPr>
      </w:pPr>
      <w:r w:rsidRPr="005F0005">
        <w:rPr>
          <w:rFonts w:ascii="Calibri" w:eastAsia="Calibri" w:hAnsi="Calibri" w:cs="Calibri"/>
          <w:b/>
          <w:bCs/>
          <w:color w:val="auto"/>
          <w:sz w:val="22"/>
          <w:szCs w:val="22"/>
          <w:lang w:eastAsia="en-US" w:bidi="en-US"/>
        </w:rPr>
        <w:t>Public and Non-Profit Administration Concentration</w:t>
      </w:r>
    </w:p>
    <w:p w14:paraId="001E8477" w14:textId="77777777" w:rsidR="005F0005" w:rsidRPr="005F0005" w:rsidRDefault="005F0005" w:rsidP="005F0005">
      <w:pPr>
        <w:widowControl w:val="0"/>
        <w:tabs>
          <w:tab w:val="right" w:pos="8133"/>
        </w:tabs>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Public and</w:t>
      </w:r>
      <w:r w:rsidRPr="005F0005">
        <w:rPr>
          <w:rFonts w:ascii="Calibri" w:eastAsia="Calibri" w:hAnsi="Calibri" w:cs="Calibri"/>
          <w:color w:val="auto"/>
          <w:spacing w:val="-2"/>
          <w:sz w:val="22"/>
          <w:szCs w:val="22"/>
          <w:lang w:eastAsia="en-US" w:bidi="en-US"/>
        </w:rPr>
        <w:t xml:space="preserve"> </w:t>
      </w:r>
      <w:r w:rsidRPr="005F0005">
        <w:rPr>
          <w:rFonts w:ascii="Calibri" w:eastAsia="Calibri" w:hAnsi="Calibri" w:cs="Calibri"/>
          <w:color w:val="auto"/>
          <w:sz w:val="22"/>
          <w:szCs w:val="22"/>
          <w:lang w:eastAsia="en-US" w:bidi="en-US"/>
        </w:rPr>
        <w:t>Non-profit</w:t>
      </w:r>
      <w:r w:rsidRPr="005F0005">
        <w:rPr>
          <w:rFonts w:ascii="Calibri" w:eastAsia="Calibri" w:hAnsi="Calibri" w:cs="Calibri"/>
          <w:color w:val="auto"/>
          <w:spacing w:val="-2"/>
          <w:sz w:val="22"/>
          <w:szCs w:val="22"/>
          <w:lang w:eastAsia="en-US" w:bidi="en-US"/>
        </w:rPr>
        <w:t xml:space="preserve"> </w:t>
      </w:r>
      <w:r w:rsidRPr="005F0005">
        <w:rPr>
          <w:rFonts w:ascii="Calibri" w:eastAsia="Calibri" w:hAnsi="Calibri" w:cs="Calibri"/>
          <w:color w:val="auto"/>
          <w:sz w:val="22"/>
          <w:szCs w:val="22"/>
          <w:lang w:eastAsia="en-US" w:bidi="en-US"/>
        </w:rPr>
        <w:t>Management</w:t>
      </w:r>
      <w:r w:rsidRPr="005F0005">
        <w:rPr>
          <w:rFonts w:ascii="Calibri" w:eastAsia="Calibri" w:hAnsi="Calibri" w:cs="Calibri"/>
          <w:color w:val="auto"/>
          <w:sz w:val="22"/>
          <w:szCs w:val="22"/>
          <w:lang w:eastAsia="en-US" w:bidi="en-US"/>
        </w:rPr>
        <w:tab/>
        <w:t>4</w:t>
      </w:r>
    </w:p>
    <w:p w14:paraId="2DCC6FBF" w14:textId="77777777" w:rsidR="005F0005" w:rsidRPr="005F0005" w:rsidRDefault="005F0005" w:rsidP="005F0005">
      <w:pPr>
        <w:widowControl w:val="0"/>
        <w:tabs>
          <w:tab w:val="right" w:pos="8133"/>
        </w:tabs>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Public and</w:t>
      </w:r>
      <w:r w:rsidRPr="005F0005">
        <w:rPr>
          <w:rFonts w:ascii="Calibri" w:eastAsia="Calibri" w:hAnsi="Calibri" w:cs="Calibri"/>
          <w:color w:val="auto"/>
          <w:spacing w:val="-2"/>
          <w:sz w:val="22"/>
          <w:szCs w:val="22"/>
          <w:lang w:eastAsia="en-US" w:bidi="en-US"/>
        </w:rPr>
        <w:t xml:space="preserve"> </w:t>
      </w:r>
      <w:r w:rsidRPr="005F0005">
        <w:rPr>
          <w:rFonts w:ascii="Calibri" w:eastAsia="Calibri" w:hAnsi="Calibri" w:cs="Calibri"/>
          <w:color w:val="auto"/>
          <w:sz w:val="22"/>
          <w:szCs w:val="22"/>
          <w:lang w:eastAsia="en-US" w:bidi="en-US"/>
        </w:rPr>
        <w:t>Non-profit Finance</w:t>
      </w:r>
      <w:r w:rsidRPr="005F0005">
        <w:rPr>
          <w:rFonts w:ascii="Calibri" w:eastAsia="Calibri" w:hAnsi="Calibri" w:cs="Calibri"/>
          <w:color w:val="auto"/>
          <w:sz w:val="22"/>
          <w:szCs w:val="22"/>
          <w:lang w:eastAsia="en-US" w:bidi="en-US"/>
        </w:rPr>
        <w:tab/>
        <w:t>4</w:t>
      </w:r>
    </w:p>
    <w:p w14:paraId="16E7B3CE" w14:textId="77777777" w:rsidR="005F0005" w:rsidRPr="005F0005" w:rsidRDefault="005F0005" w:rsidP="005F0005">
      <w:pPr>
        <w:widowControl w:val="0"/>
        <w:tabs>
          <w:tab w:val="right" w:pos="8133"/>
        </w:tabs>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Non-profit Theory</w:t>
      </w:r>
      <w:r w:rsidRPr="005F0005">
        <w:rPr>
          <w:rFonts w:ascii="Calibri" w:eastAsia="Calibri" w:hAnsi="Calibri" w:cs="Calibri"/>
          <w:color w:val="auto"/>
          <w:spacing w:val="-2"/>
          <w:sz w:val="22"/>
          <w:szCs w:val="22"/>
          <w:lang w:eastAsia="en-US" w:bidi="en-US"/>
        </w:rPr>
        <w:t xml:space="preserve"> </w:t>
      </w:r>
      <w:r w:rsidRPr="005F0005">
        <w:rPr>
          <w:rFonts w:ascii="Calibri" w:eastAsia="Calibri" w:hAnsi="Calibri" w:cs="Calibri"/>
          <w:color w:val="auto"/>
          <w:sz w:val="22"/>
          <w:szCs w:val="22"/>
          <w:lang w:eastAsia="en-US" w:bidi="en-US"/>
        </w:rPr>
        <w:t>and</w:t>
      </w:r>
      <w:r w:rsidRPr="005F0005">
        <w:rPr>
          <w:rFonts w:ascii="Calibri" w:eastAsia="Calibri" w:hAnsi="Calibri" w:cs="Calibri"/>
          <w:color w:val="auto"/>
          <w:spacing w:val="-3"/>
          <w:sz w:val="22"/>
          <w:szCs w:val="22"/>
          <w:lang w:eastAsia="en-US" w:bidi="en-US"/>
        </w:rPr>
        <w:t xml:space="preserve"> </w:t>
      </w:r>
      <w:r w:rsidRPr="005F0005">
        <w:rPr>
          <w:rFonts w:ascii="Calibri" w:eastAsia="Calibri" w:hAnsi="Calibri" w:cs="Calibri"/>
          <w:color w:val="auto"/>
          <w:sz w:val="22"/>
          <w:szCs w:val="22"/>
          <w:lang w:eastAsia="en-US" w:bidi="en-US"/>
        </w:rPr>
        <w:t>Practice</w:t>
      </w:r>
      <w:r w:rsidRPr="005F0005">
        <w:rPr>
          <w:rFonts w:ascii="Calibri" w:eastAsia="Calibri" w:hAnsi="Calibri" w:cs="Calibri"/>
          <w:color w:val="auto"/>
          <w:sz w:val="22"/>
          <w:szCs w:val="22"/>
          <w:lang w:eastAsia="en-US" w:bidi="en-US"/>
        </w:rPr>
        <w:tab/>
        <w:t>4</w:t>
      </w:r>
    </w:p>
    <w:p w14:paraId="51E9974A" w14:textId="77777777" w:rsidR="005F0005" w:rsidRPr="005F0005" w:rsidRDefault="005F0005" w:rsidP="005F0005">
      <w:pPr>
        <w:widowControl w:val="0"/>
        <w:autoSpaceDE w:val="0"/>
        <w:autoSpaceDN w:val="0"/>
        <w:spacing w:before="1" w:line="267" w:lineRule="exact"/>
        <w:ind w:left="100"/>
        <w:outlineLvl w:val="0"/>
        <w:rPr>
          <w:rFonts w:ascii="Calibri" w:eastAsia="Calibri" w:hAnsi="Calibri" w:cs="Calibri"/>
          <w:b/>
          <w:bCs/>
          <w:color w:val="auto"/>
          <w:sz w:val="22"/>
          <w:szCs w:val="22"/>
          <w:lang w:eastAsia="en-US" w:bidi="en-US"/>
        </w:rPr>
      </w:pPr>
      <w:r w:rsidRPr="005F0005">
        <w:rPr>
          <w:rFonts w:ascii="Calibri" w:eastAsia="Calibri" w:hAnsi="Calibri" w:cs="Calibri"/>
          <w:b/>
          <w:bCs/>
          <w:color w:val="auto"/>
          <w:sz w:val="22"/>
          <w:szCs w:val="22"/>
          <w:lang w:eastAsia="en-US" w:bidi="en-US"/>
        </w:rPr>
        <w:t>Public Policy Concentration</w:t>
      </w:r>
    </w:p>
    <w:p w14:paraId="095DC73B" w14:textId="77777777" w:rsidR="005F0005" w:rsidRPr="005F0005" w:rsidRDefault="005F0005" w:rsidP="005F0005">
      <w:pPr>
        <w:widowControl w:val="0"/>
        <w:tabs>
          <w:tab w:val="right" w:pos="8133"/>
        </w:tabs>
        <w:autoSpaceDE w:val="0"/>
        <w:autoSpaceDN w:val="0"/>
        <w:spacing w:line="267" w:lineRule="exact"/>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Foundations of</w:t>
      </w:r>
      <w:r w:rsidRPr="005F0005">
        <w:rPr>
          <w:rFonts w:ascii="Calibri" w:eastAsia="Calibri" w:hAnsi="Calibri" w:cs="Calibri"/>
          <w:color w:val="auto"/>
          <w:spacing w:val="-5"/>
          <w:sz w:val="22"/>
          <w:szCs w:val="22"/>
          <w:lang w:eastAsia="en-US" w:bidi="en-US"/>
        </w:rPr>
        <w:t xml:space="preserve"> </w:t>
      </w:r>
      <w:r w:rsidRPr="005F0005">
        <w:rPr>
          <w:rFonts w:ascii="Calibri" w:eastAsia="Calibri" w:hAnsi="Calibri" w:cs="Calibri"/>
          <w:color w:val="auto"/>
          <w:sz w:val="22"/>
          <w:szCs w:val="22"/>
          <w:lang w:eastAsia="en-US" w:bidi="en-US"/>
        </w:rPr>
        <w:t>Public</w:t>
      </w:r>
      <w:r w:rsidRPr="005F0005">
        <w:rPr>
          <w:rFonts w:ascii="Calibri" w:eastAsia="Calibri" w:hAnsi="Calibri" w:cs="Calibri"/>
          <w:color w:val="auto"/>
          <w:spacing w:val="-2"/>
          <w:sz w:val="22"/>
          <w:szCs w:val="22"/>
          <w:lang w:eastAsia="en-US" w:bidi="en-US"/>
        </w:rPr>
        <w:t xml:space="preserve"> </w:t>
      </w:r>
      <w:r w:rsidRPr="005F0005">
        <w:rPr>
          <w:rFonts w:ascii="Calibri" w:eastAsia="Calibri" w:hAnsi="Calibri" w:cs="Calibri"/>
          <w:color w:val="auto"/>
          <w:sz w:val="22"/>
          <w:szCs w:val="22"/>
          <w:lang w:eastAsia="en-US" w:bidi="en-US"/>
        </w:rPr>
        <w:t>Policy</w:t>
      </w:r>
      <w:r w:rsidRPr="005F0005">
        <w:rPr>
          <w:rFonts w:ascii="Calibri" w:eastAsia="Calibri" w:hAnsi="Calibri" w:cs="Calibri"/>
          <w:color w:val="auto"/>
          <w:sz w:val="22"/>
          <w:szCs w:val="22"/>
          <w:lang w:eastAsia="en-US" w:bidi="en-US"/>
        </w:rPr>
        <w:tab/>
        <w:t>4</w:t>
      </w:r>
    </w:p>
    <w:p w14:paraId="6DB0D1A3" w14:textId="77777777" w:rsidR="005F0005" w:rsidRPr="005F0005" w:rsidRDefault="005F0005" w:rsidP="005F0005">
      <w:pPr>
        <w:widowControl w:val="0"/>
        <w:tabs>
          <w:tab w:val="right" w:pos="8133"/>
        </w:tabs>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Public</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Law</w:t>
      </w:r>
      <w:r w:rsidRPr="005F0005">
        <w:rPr>
          <w:rFonts w:ascii="Calibri" w:eastAsia="Calibri" w:hAnsi="Calibri" w:cs="Calibri"/>
          <w:color w:val="auto"/>
          <w:sz w:val="22"/>
          <w:szCs w:val="22"/>
          <w:lang w:eastAsia="en-US" w:bidi="en-US"/>
        </w:rPr>
        <w:tab/>
        <w:t>4</w:t>
      </w:r>
    </w:p>
    <w:p w14:paraId="336744B0" w14:textId="77777777" w:rsidR="005F0005" w:rsidRPr="005F0005" w:rsidRDefault="005F0005" w:rsidP="005F0005">
      <w:pPr>
        <w:widowControl w:val="0"/>
        <w:autoSpaceDE w:val="0"/>
        <w:autoSpaceDN w:val="0"/>
        <w:ind w:left="154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Advanced Research Methods</w:t>
      </w:r>
    </w:p>
    <w:p w14:paraId="1BC2F220" w14:textId="77777777" w:rsidR="005F0005" w:rsidRPr="005F0005" w:rsidRDefault="005F0005" w:rsidP="005F0005">
      <w:pPr>
        <w:widowControl w:val="0"/>
        <w:tabs>
          <w:tab w:val="right" w:pos="8133"/>
        </w:tabs>
        <w:autoSpaceDE w:val="0"/>
        <w:autoSpaceDN w:val="0"/>
        <w:spacing w:before="1"/>
        <w:ind w:left="2260"/>
        <w:rPr>
          <w:rFonts w:ascii="Calibri" w:eastAsia="Calibri" w:hAnsi="Calibri" w:cs="Calibri"/>
          <w:color w:val="auto"/>
          <w:sz w:val="22"/>
          <w:szCs w:val="22"/>
          <w:lang w:eastAsia="en-US" w:bidi="en-US"/>
        </w:rPr>
      </w:pPr>
      <w:r w:rsidRPr="005F0005">
        <w:rPr>
          <w:rFonts w:ascii="Calibri" w:eastAsia="Calibri" w:hAnsi="Calibri" w:cs="Calibri"/>
          <w:i/>
          <w:color w:val="auto"/>
          <w:sz w:val="22"/>
          <w:szCs w:val="22"/>
          <w:lang w:eastAsia="en-US" w:bidi="en-US"/>
        </w:rPr>
        <w:t xml:space="preserve">or </w:t>
      </w:r>
      <w:r w:rsidRPr="005F0005">
        <w:rPr>
          <w:rFonts w:ascii="Calibri" w:eastAsia="Calibri" w:hAnsi="Calibri" w:cs="Calibri"/>
          <w:color w:val="auto"/>
          <w:sz w:val="22"/>
          <w:szCs w:val="22"/>
          <w:lang w:eastAsia="en-US" w:bidi="en-US"/>
        </w:rPr>
        <w:t>Feminist Approaches to Methods</w:t>
      </w:r>
      <w:r w:rsidRPr="005F0005">
        <w:rPr>
          <w:rFonts w:ascii="Calibri" w:eastAsia="Calibri" w:hAnsi="Calibri" w:cs="Calibri"/>
          <w:color w:val="auto"/>
          <w:spacing w:val="-5"/>
          <w:sz w:val="22"/>
          <w:szCs w:val="22"/>
          <w:lang w:eastAsia="en-US" w:bidi="en-US"/>
        </w:rPr>
        <w:t xml:space="preserve"> </w:t>
      </w:r>
      <w:r w:rsidRPr="005F0005">
        <w:rPr>
          <w:rFonts w:ascii="Calibri" w:eastAsia="Calibri" w:hAnsi="Calibri" w:cs="Calibri"/>
          <w:color w:val="auto"/>
          <w:sz w:val="22"/>
          <w:szCs w:val="22"/>
          <w:lang w:eastAsia="en-US" w:bidi="en-US"/>
        </w:rPr>
        <w:t>&amp;</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Evaluation</w:t>
      </w:r>
      <w:r w:rsidRPr="005F0005">
        <w:rPr>
          <w:rFonts w:ascii="Calibri" w:eastAsia="Calibri" w:hAnsi="Calibri" w:cs="Calibri"/>
          <w:color w:val="auto"/>
          <w:sz w:val="22"/>
          <w:szCs w:val="22"/>
          <w:lang w:eastAsia="en-US" w:bidi="en-US"/>
        </w:rPr>
        <w:tab/>
        <w:t>4</w:t>
      </w:r>
    </w:p>
    <w:p w14:paraId="20CF7577" w14:textId="77777777" w:rsidR="005F0005" w:rsidRPr="005F0005" w:rsidRDefault="005F0005" w:rsidP="005F0005">
      <w:pPr>
        <w:spacing w:before="269"/>
        <w:ind w:left="1171" w:right="1147"/>
        <w:jc w:val="center"/>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2"/>
          <w:szCs w:val="24"/>
          <w:lang w:eastAsia="en-US"/>
        </w:rPr>
        <w:lastRenderedPageBreak/>
        <w:t>Electives (20 credits)</w:t>
      </w:r>
      <w:r w:rsidRPr="005F0005">
        <w:rPr>
          <w:rFonts w:ascii="Times New Roman" w:eastAsiaTheme="minorHAnsi" w:hAnsi="Times New Roman"/>
          <w:color w:val="auto"/>
          <w:sz w:val="22"/>
          <w:szCs w:val="24"/>
          <w:lang w:eastAsia="en-US"/>
        </w:rPr>
        <w:t>*</w:t>
      </w:r>
    </w:p>
    <w:p w14:paraId="51DA26C7" w14:textId="77777777" w:rsidR="005F0005" w:rsidRPr="005F0005" w:rsidRDefault="005F0005" w:rsidP="005F0005">
      <w:pPr>
        <w:widowControl w:val="0"/>
        <w:tabs>
          <w:tab w:val="left" w:pos="5861"/>
          <w:tab w:val="left" w:pos="8021"/>
        </w:tabs>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noProof/>
          <w:color w:val="auto"/>
          <w:sz w:val="22"/>
          <w:szCs w:val="22"/>
          <w:lang w:eastAsia="en-US"/>
        </w:rPr>
        <mc:AlternateContent>
          <mc:Choice Requires="wps">
            <w:drawing>
              <wp:anchor distT="0" distB="0" distL="114300" distR="114300" simplePos="0" relativeHeight="251663360" behindDoc="0" locked="0" layoutInCell="1" allowOverlap="1" wp14:anchorId="276E1ACB" wp14:editId="4606B8B6">
                <wp:simplePos x="0" y="0"/>
                <wp:positionH relativeFrom="page">
                  <wp:posOffset>914400</wp:posOffset>
                </wp:positionH>
                <wp:positionV relativeFrom="paragraph">
                  <wp:posOffset>153035</wp:posOffset>
                </wp:positionV>
                <wp:extent cx="5429885" cy="0"/>
                <wp:effectExtent l="9525"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C671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49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" strokeweight=".72pt">
                <w10:wrap anchorx="page"/>
              </v:line>
            </w:pict>
          </mc:Fallback>
        </mc:AlternateContent>
      </w:r>
      <w:r w:rsidRPr="005F0005">
        <w:rPr>
          <w:rFonts w:ascii="Calibri" w:eastAsia="Calibri" w:hAnsi="Calibri" w:cs="Calibri"/>
          <w:color w:val="auto"/>
          <w:sz w:val="22"/>
          <w:szCs w:val="22"/>
          <w:lang w:eastAsia="en-US" w:bidi="en-US"/>
        </w:rPr>
        <w:t>Title</w:t>
      </w:r>
      <w:r w:rsidRPr="005F0005">
        <w:rPr>
          <w:rFonts w:ascii="Calibri" w:eastAsia="Calibri" w:hAnsi="Calibri" w:cs="Calibri"/>
          <w:color w:val="auto"/>
          <w:sz w:val="22"/>
          <w:szCs w:val="22"/>
          <w:lang w:eastAsia="en-US" w:bidi="en-US"/>
        </w:rPr>
        <w:tab/>
        <w:t>Quarter</w:t>
      </w:r>
      <w:r w:rsidRPr="005F0005">
        <w:rPr>
          <w:rFonts w:ascii="Calibri" w:eastAsia="Calibri" w:hAnsi="Calibri" w:cs="Calibri"/>
          <w:color w:val="auto"/>
          <w:spacing w:val="-1"/>
          <w:sz w:val="22"/>
          <w:szCs w:val="22"/>
          <w:lang w:eastAsia="en-US" w:bidi="en-US"/>
        </w:rPr>
        <w:t xml:space="preserve"> </w:t>
      </w:r>
      <w:r w:rsidRPr="005F0005">
        <w:rPr>
          <w:rFonts w:ascii="Calibri" w:eastAsia="Calibri" w:hAnsi="Calibri" w:cs="Calibri"/>
          <w:color w:val="auto"/>
          <w:sz w:val="22"/>
          <w:szCs w:val="22"/>
          <w:lang w:eastAsia="en-US" w:bidi="en-US"/>
        </w:rPr>
        <w:t>Completed</w:t>
      </w:r>
      <w:r w:rsidRPr="005F0005">
        <w:rPr>
          <w:rFonts w:ascii="Calibri" w:eastAsia="Calibri" w:hAnsi="Calibri" w:cs="Calibri"/>
          <w:color w:val="auto"/>
          <w:sz w:val="22"/>
          <w:szCs w:val="22"/>
          <w:lang w:eastAsia="en-US" w:bidi="en-US"/>
        </w:rPr>
        <w:tab/>
        <w:t>Credits</w:t>
      </w:r>
    </w:p>
    <w:p w14:paraId="390E8440" w14:textId="77777777" w:rsidR="005F0005" w:rsidRPr="005F0005" w:rsidRDefault="005F0005" w:rsidP="005F0005">
      <w:pPr>
        <w:widowControl w:val="0"/>
        <w:autoSpaceDE w:val="0"/>
        <w:autoSpaceDN w:val="0"/>
        <w:spacing w:before="540" w:line="237" w:lineRule="auto"/>
        <w:ind w:left="6676" w:right="883"/>
        <w:jc w:val="right"/>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Total</w:t>
      </w:r>
      <w:r w:rsidRPr="005F0005">
        <w:rPr>
          <w:rFonts w:ascii="Calibri" w:eastAsia="Calibri" w:hAnsi="Calibri" w:cs="Calibri"/>
          <w:color w:val="auto"/>
          <w:spacing w:val="-3"/>
          <w:sz w:val="22"/>
          <w:szCs w:val="22"/>
          <w:lang w:eastAsia="en-US" w:bidi="en-US"/>
        </w:rPr>
        <w:t xml:space="preserve"> </w:t>
      </w:r>
      <w:r w:rsidRPr="005F0005">
        <w:rPr>
          <w:rFonts w:ascii="Calibri" w:eastAsia="Calibri" w:hAnsi="Calibri" w:cs="Calibri"/>
          <w:color w:val="auto"/>
          <w:sz w:val="22"/>
          <w:szCs w:val="22"/>
          <w:lang w:eastAsia="en-US" w:bidi="en-US"/>
        </w:rPr>
        <w:t>Electives: GRAND</w:t>
      </w:r>
      <w:r w:rsidRPr="005F0005">
        <w:rPr>
          <w:rFonts w:ascii="Calibri" w:eastAsia="Calibri" w:hAnsi="Calibri" w:cs="Calibri"/>
          <w:color w:val="auto"/>
          <w:spacing w:val="8"/>
          <w:sz w:val="22"/>
          <w:szCs w:val="22"/>
          <w:lang w:eastAsia="en-US" w:bidi="en-US"/>
        </w:rPr>
        <w:t xml:space="preserve"> </w:t>
      </w:r>
      <w:r w:rsidRPr="005F0005">
        <w:rPr>
          <w:rFonts w:ascii="Calibri" w:eastAsia="Calibri" w:hAnsi="Calibri" w:cs="Calibri"/>
          <w:color w:val="auto"/>
          <w:spacing w:val="-4"/>
          <w:sz w:val="22"/>
          <w:szCs w:val="22"/>
          <w:lang w:eastAsia="en-US" w:bidi="en-US"/>
        </w:rPr>
        <w:t>TOTAL:</w:t>
      </w:r>
    </w:p>
    <w:p w14:paraId="7CF44A90" w14:textId="77777777" w:rsidR="005F0005" w:rsidRPr="005F0005" w:rsidRDefault="005F0005" w:rsidP="005F0005">
      <w:pPr>
        <w:spacing w:line="237" w:lineRule="auto"/>
        <w:jc w:val="right"/>
        <w:rPr>
          <w:rFonts w:ascii="Times New Roman" w:eastAsiaTheme="minorHAnsi" w:hAnsi="Times New Roman"/>
          <w:color w:val="auto"/>
          <w:sz w:val="24"/>
          <w:szCs w:val="24"/>
          <w:lang w:eastAsia="en-US"/>
        </w:rPr>
      </w:pPr>
    </w:p>
    <w:p w14:paraId="42DD62CF" w14:textId="77777777" w:rsidR="005F0005" w:rsidRPr="005F0005" w:rsidRDefault="005F0005" w:rsidP="005F0005">
      <w:pPr>
        <w:rPr>
          <w:rFonts w:ascii="Times New Roman" w:eastAsiaTheme="minorHAnsi" w:hAnsi="Times New Roman"/>
          <w:color w:val="auto"/>
          <w:sz w:val="24"/>
          <w:szCs w:val="24"/>
          <w:lang w:eastAsia="en-US"/>
        </w:rPr>
      </w:pPr>
    </w:p>
    <w:p w14:paraId="422479A3" w14:textId="77777777" w:rsidR="005F0005" w:rsidRPr="005F0005" w:rsidRDefault="005F0005" w:rsidP="005F0005">
      <w:pPr>
        <w:rPr>
          <w:rFonts w:ascii="Times New Roman" w:eastAsiaTheme="minorHAnsi" w:hAnsi="Times New Roman"/>
          <w:color w:val="auto"/>
          <w:sz w:val="24"/>
          <w:szCs w:val="24"/>
          <w:lang w:eastAsia="en-US"/>
        </w:rPr>
      </w:pPr>
    </w:p>
    <w:p w14:paraId="0C5B4546" w14:textId="77777777" w:rsidR="005F0005" w:rsidRPr="005F0005" w:rsidRDefault="005F0005" w:rsidP="005F0005">
      <w:pPr>
        <w:tabs>
          <w:tab w:val="left" w:pos="7635"/>
        </w:tabs>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t xml:space="preserve">                       Must complete</w:t>
      </w:r>
      <w:r w:rsidRPr="005F0005">
        <w:rPr>
          <w:rFonts w:ascii="Times New Roman" w:eastAsiaTheme="minorHAnsi" w:hAnsi="Times New Roman"/>
          <w:color w:val="auto"/>
          <w:spacing w:val="-2"/>
          <w:sz w:val="24"/>
          <w:szCs w:val="24"/>
          <w:lang w:eastAsia="en-US"/>
        </w:rPr>
        <w:t xml:space="preserve"> </w:t>
      </w:r>
      <w:r w:rsidRPr="005F0005">
        <w:rPr>
          <w:rFonts w:ascii="Times New Roman" w:eastAsiaTheme="minorHAnsi" w:hAnsi="Times New Roman"/>
          <w:color w:val="auto"/>
          <w:sz w:val="24"/>
          <w:szCs w:val="24"/>
          <w:lang w:eastAsia="en-US"/>
        </w:rPr>
        <w:t>*at</w:t>
      </w:r>
      <w:r w:rsidRPr="005F0005">
        <w:rPr>
          <w:rFonts w:ascii="Times New Roman" w:eastAsiaTheme="minorHAnsi" w:hAnsi="Times New Roman"/>
          <w:color w:val="auto"/>
          <w:spacing w:val="-2"/>
          <w:sz w:val="24"/>
          <w:szCs w:val="24"/>
          <w:lang w:eastAsia="en-US"/>
        </w:rPr>
        <w:t xml:space="preserve"> </w:t>
      </w:r>
      <w:r w:rsidRPr="005F0005">
        <w:rPr>
          <w:rFonts w:ascii="Times New Roman" w:eastAsiaTheme="minorHAnsi" w:hAnsi="Times New Roman"/>
          <w:color w:val="auto"/>
          <w:sz w:val="24"/>
          <w:szCs w:val="24"/>
          <w:lang w:eastAsia="en-US"/>
        </w:rPr>
        <w:t xml:space="preserve">least*60 </w:t>
      </w:r>
      <w:r w:rsidRPr="005F0005">
        <w:rPr>
          <w:rFonts w:ascii="Times New Roman" w:eastAsiaTheme="minorHAnsi" w:hAnsi="Times New Roman"/>
          <w:color w:val="auto"/>
          <w:spacing w:val="-4"/>
          <w:sz w:val="24"/>
          <w:szCs w:val="24"/>
          <w:lang w:eastAsia="en-US"/>
        </w:rPr>
        <w:t xml:space="preserve">credits </w:t>
      </w:r>
      <w:r w:rsidRPr="005F0005">
        <w:rPr>
          <w:rFonts w:ascii="Times New Roman" w:eastAsiaTheme="minorHAnsi" w:hAnsi="Times New Roman"/>
          <w:color w:val="auto"/>
          <w:sz w:val="24"/>
          <w:szCs w:val="24"/>
          <w:lang w:eastAsia="en-US"/>
        </w:rPr>
        <w:t>Must not *attempt* more than 76</w:t>
      </w:r>
      <w:r w:rsidRPr="005F0005">
        <w:rPr>
          <w:rFonts w:ascii="Times New Roman" w:eastAsiaTheme="minorHAnsi" w:hAnsi="Times New Roman"/>
          <w:color w:val="auto"/>
          <w:spacing w:val="-11"/>
          <w:sz w:val="24"/>
          <w:szCs w:val="24"/>
          <w:lang w:eastAsia="en-US"/>
        </w:rPr>
        <w:t xml:space="preserve"> c</w:t>
      </w:r>
      <w:r w:rsidRPr="005F0005">
        <w:rPr>
          <w:rFonts w:ascii="Times New Roman" w:eastAsiaTheme="minorHAnsi" w:hAnsi="Times New Roman"/>
          <w:color w:val="auto"/>
          <w:sz w:val="24"/>
          <w:szCs w:val="24"/>
          <w:lang w:eastAsia="en-US"/>
        </w:rPr>
        <w:t>redits</w:t>
      </w:r>
    </w:p>
    <w:p w14:paraId="247D46DA" w14:textId="77777777" w:rsidR="005F0005" w:rsidRPr="005F0005" w:rsidRDefault="005F0005" w:rsidP="005F0005">
      <w:pPr>
        <w:widowControl w:val="0"/>
        <w:autoSpaceDE w:val="0"/>
        <w:autoSpaceDN w:val="0"/>
        <w:rPr>
          <w:rFonts w:ascii="Calibri" w:eastAsia="Calibri" w:hAnsi="Calibri" w:cs="Calibri"/>
          <w:color w:val="auto"/>
          <w:sz w:val="22"/>
          <w:szCs w:val="22"/>
          <w:lang w:eastAsia="en-US" w:bidi="en-US"/>
        </w:rPr>
      </w:pPr>
    </w:p>
    <w:p w14:paraId="7513EA6A" w14:textId="77777777" w:rsidR="005F0005" w:rsidRPr="005F0005" w:rsidRDefault="005F0005" w:rsidP="005F0005">
      <w:pPr>
        <w:widowControl w:val="0"/>
        <w:autoSpaceDE w:val="0"/>
        <w:autoSpaceDN w:val="0"/>
        <w:ind w:left="100" w:right="103"/>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 Electives include: MPA and MES courses; Individual Study/Contracts: Individual Learning Contracts and Internship Contracts (up to 12 credits total of any combination of Individual Study/Contracts); up to 12 credits of graduate coursework -- transferred from other accredited institutions (with approval of MPA Director) and/or taken at Evergreen prior to the Fall of admission</w:t>
      </w:r>
    </w:p>
    <w:p w14:paraId="1814E0D1" w14:textId="77777777" w:rsidR="005F0005" w:rsidRPr="005F0005" w:rsidRDefault="005F0005" w:rsidP="005F0005">
      <w:pPr>
        <w:widowControl w:val="0"/>
        <w:autoSpaceDE w:val="0"/>
        <w:autoSpaceDN w:val="0"/>
        <w:spacing w:before="11"/>
        <w:rPr>
          <w:rFonts w:ascii="Calibri" w:eastAsia="Calibri" w:hAnsi="Calibri" w:cs="Calibri"/>
          <w:color w:val="auto"/>
          <w:sz w:val="21"/>
          <w:szCs w:val="22"/>
          <w:lang w:eastAsia="en-US" w:bidi="en-US"/>
        </w:rPr>
      </w:pPr>
    </w:p>
    <w:p w14:paraId="74017296" w14:textId="77777777" w:rsidR="005F0005" w:rsidRPr="005F0005" w:rsidRDefault="005F0005" w:rsidP="005F0005">
      <w:pPr>
        <w:widowControl w:val="0"/>
        <w:autoSpaceDE w:val="0"/>
        <w:autoSpaceDN w:val="0"/>
        <w:ind w:left="100" w:right="414"/>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Elective courses are either 2 credit courses or 4 credit courses. Re: 2 credit elective courses: students may take a maximum of six (6) of the 2 credit MPA elective courses – a total of twelve (12) credits – toward their MPA degree.</w:t>
      </w:r>
    </w:p>
    <w:p w14:paraId="7695DB53" w14:textId="77777777" w:rsidR="005F0005" w:rsidRPr="005F0005" w:rsidRDefault="005F0005" w:rsidP="005F0005">
      <w:pPr>
        <w:widowControl w:val="0"/>
        <w:autoSpaceDE w:val="0"/>
        <w:autoSpaceDN w:val="0"/>
        <w:spacing w:before="1"/>
        <w:rPr>
          <w:rFonts w:ascii="Calibri" w:eastAsia="Calibri" w:hAnsi="Calibri" w:cs="Calibri"/>
          <w:color w:val="auto"/>
          <w:sz w:val="22"/>
          <w:szCs w:val="22"/>
          <w:lang w:eastAsia="en-US" w:bidi="en-US"/>
        </w:rPr>
      </w:pPr>
    </w:p>
    <w:p w14:paraId="6E0C02A6" w14:textId="77777777" w:rsidR="005F0005" w:rsidRPr="005F0005" w:rsidRDefault="005F0005" w:rsidP="005F0005">
      <w:pPr>
        <w:widowControl w:val="0"/>
        <w:autoSpaceDE w:val="0"/>
        <w:autoSpaceDN w:val="0"/>
        <w:ind w:left="100"/>
        <w:rPr>
          <w:rFonts w:ascii="Calibri" w:eastAsia="Calibri" w:hAnsi="Calibri" w:cs="Calibri"/>
          <w:color w:val="auto"/>
          <w:sz w:val="22"/>
          <w:szCs w:val="22"/>
          <w:lang w:eastAsia="en-US" w:bidi="en-US"/>
        </w:rPr>
      </w:pPr>
      <w:r w:rsidRPr="005F0005">
        <w:rPr>
          <w:rFonts w:ascii="Calibri" w:eastAsia="Calibri" w:hAnsi="Calibri" w:cs="Calibri"/>
          <w:color w:val="auto"/>
          <w:sz w:val="22"/>
          <w:szCs w:val="22"/>
          <w:lang w:eastAsia="en-US" w:bidi="en-US"/>
        </w:rPr>
        <w:t>**Students must complete a minimum of 40 credits by end of winter quarter before taking Capstone.</w:t>
      </w:r>
    </w:p>
    <w:p w14:paraId="5DCE921D"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br w:type="page"/>
      </w:r>
    </w:p>
    <w:p w14:paraId="58C84D75"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lastRenderedPageBreak/>
        <w:t>Appendix B: Sample Full-Time Student Schedule (8-12 credits per quarter)</w:t>
      </w:r>
    </w:p>
    <w:p w14:paraId="17506310" w14:textId="77777777" w:rsidR="005F0005" w:rsidRPr="005F0005" w:rsidRDefault="005F0005" w:rsidP="005F0005">
      <w:pPr>
        <w:rPr>
          <w:rFonts w:ascii="Times New Roman" w:eastAsiaTheme="minorHAnsi" w:hAnsi="Times New Roman"/>
          <w:color w:val="auto"/>
          <w:sz w:val="24"/>
          <w:szCs w:val="24"/>
          <w:lang w:eastAsia="en-US"/>
        </w:rPr>
      </w:pPr>
    </w:p>
    <w:p w14:paraId="01F52353" w14:textId="77777777" w:rsidR="005F0005" w:rsidRPr="005F0005" w:rsidRDefault="005F0005" w:rsidP="005F0005">
      <w:pPr>
        <w:rPr>
          <w:rFonts w:ascii="Times New Roman" w:eastAsiaTheme="minorHAnsi" w:hAnsi="Times New Roman"/>
          <w:color w:val="auto"/>
          <w:sz w:val="24"/>
          <w:szCs w:val="24"/>
          <w:lang w:eastAsia="en-US"/>
        </w:rPr>
      </w:pPr>
    </w:p>
    <w:p w14:paraId="3458D7B5" w14:textId="77777777" w:rsidR="005F0005" w:rsidRPr="005F0005" w:rsidRDefault="005F0005" w:rsidP="005F0005">
      <w:pPr>
        <w:rPr>
          <w:rFonts w:ascii="Times New Roman" w:eastAsiaTheme="minorHAnsi" w:hAnsi="Times New Roman"/>
          <w:b/>
          <w:color w:val="auto"/>
          <w:sz w:val="24"/>
          <w:szCs w:val="24"/>
          <w:u w:val="single"/>
          <w:lang w:eastAsia="en-US"/>
        </w:rPr>
      </w:pPr>
      <w:r w:rsidRPr="005F0005">
        <w:rPr>
          <w:rFonts w:ascii="Times New Roman" w:eastAsiaTheme="minorHAnsi" w:hAnsi="Times New Roman"/>
          <w:b/>
          <w:color w:val="auto"/>
          <w:sz w:val="24"/>
          <w:szCs w:val="24"/>
          <w:u w:val="single"/>
          <w:lang w:eastAsia="en-US"/>
        </w:rPr>
        <w:t>Year 1 (28 credits)</w:t>
      </w:r>
    </w:p>
    <w:p w14:paraId="4F580935" w14:textId="77777777" w:rsidR="005F0005" w:rsidRPr="005F0005" w:rsidRDefault="005F0005" w:rsidP="005F0005">
      <w:pPr>
        <w:rPr>
          <w:rFonts w:ascii="Times New Roman" w:eastAsiaTheme="minorHAnsi" w:hAnsi="Times New Roman"/>
          <w:color w:val="auto"/>
          <w:sz w:val="24"/>
          <w:szCs w:val="24"/>
          <w:lang w:eastAsia="en-US"/>
        </w:rPr>
      </w:pPr>
    </w:p>
    <w:p w14:paraId="7F66078C"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Fall Quarter:  </w:t>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1</w:t>
      </w:r>
      <w:r w:rsidRPr="005F0005">
        <w:rPr>
          <w:rFonts w:ascii="Times New Roman" w:eastAsiaTheme="minorHAnsi" w:hAnsi="Times New Roman"/>
          <w:color w:val="auto"/>
          <w:sz w:val="24"/>
          <w:szCs w:val="24"/>
          <w:vertAlign w:val="superscript"/>
          <w:lang w:eastAsia="en-US"/>
        </w:rPr>
        <w:t>st</w:t>
      </w:r>
      <w:r w:rsidRPr="005F0005">
        <w:rPr>
          <w:rFonts w:ascii="Times New Roman" w:eastAsiaTheme="minorHAnsi" w:hAnsi="Times New Roman"/>
          <w:color w:val="auto"/>
          <w:sz w:val="24"/>
          <w:szCs w:val="24"/>
          <w:lang w:eastAsia="en-US"/>
        </w:rPr>
        <w:t xml:space="preserve"> Year Core I (4 credits)</w:t>
      </w:r>
    </w:p>
    <w:p w14:paraId="083C8923"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Concentration I (4 credits)</w:t>
      </w:r>
    </w:p>
    <w:p w14:paraId="1565C02F"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7B8A94F3" w14:textId="77777777" w:rsidR="005F0005" w:rsidRPr="005F0005" w:rsidRDefault="005F0005" w:rsidP="005F0005">
      <w:pPr>
        <w:rPr>
          <w:rFonts w:ascii="Times New Roman" w:eastAsiaTheme="minorHAnsi" w:hAnsi="Times New Roman"/>
          <w:color w:val="auto"/>
          <w:sz w:val="24"/>
          <w:szCs w:val="24"/>
          <w:lang w:eastAsia="en-US"/>
        </w:rPr>
      </w:pPr>
    </w:p>
    <w:p w14:paraId="0E81323B"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Winter Quarter: </w:t>
      </w:r>
      <w:r w:rsidRPr="005F0005">
        <w:rPr>
          <w:rFonts w:ascii="Times New Roman" w:eastAsiaTheme="minorHAnsi" w:hAnsi="Times New Roman"/>
          <w:color w:val="auto"/>
          <w:sz w:val="24"/>
          <w:szCs w:val="24"/>
          <w:lang w:eastAsia="en-US"/>
        </w:rPr>
        <w:tab/>
        <w:t>1</w:t>
      </w:r>
      <w:r w:rsidRPr="005F0005">
        <w:rPr>
          <w:rFonts w:ascii="Times New Roman" w:eastAsiaTheme="minorHAnsi" w:hAnsi="Times New Roman"/>
          <w:color w:val="auto"/>
          <w:sz w:val="24"/>
          <w:szCs w:val="24"/>
          <w:vertAlign w:val="superscript"/>
          <w:lang w:eastAsia="en-US"/>
        </w:rPr>
        <w:t>st</w:t>
      </w:r>
      <w:r w:rsidRPr="005F0005">
        <w:rPr>
          <w:rFonts w:ascii="Times New Roman" w:eastAsiaTheme="minorHAnsi" w:hAnsi="Times New Roman"/>
          <w:color w:val="auto"/>
          <w:sz w:val="24"/>
          <w:szCs w:val="24"/>
          <w:lang w:eastAsia="en-US"/>
        </w:rPr>
        <w:t xml:space="preserve"> Year Core II (4 credits)</w:t>
      </w:r>
    </w:p>
    <w:p w14:paraId="0D70AFF8"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(4 credits)</w:t>
      </w:r>
    </w:p>
    <w:p w14:paraId="371B68DA"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31925008" w14:textId="77777777" w:rsidR="005F0005" w:rsidRPr="005F0005" w:rsidRDefault="005F0005" w:rsidP="005F0005">
      <w:pPr>
        <w:rPr>
          <w:rFonts w:ascii="Times New Roman" w:eastAsiaTheme="minorHAnsi" w:hAnsi="Times New Roman"/>
          <w:color w:val="auto"/>
          <w:sz w:val="24"/>
          <w:szCs w:val="24"/>
          <w:lang w:eastAsia="en-US"/>
        </w:rPr>
      </w:pPr>
    </w:p>
    <w:p w14:paraId="55151EC4"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Spring Quarter:</w:t>
      </w:r>
      <w:r w:rsidRPr="005F0005">
        <w:rPr>
          <w:rFonts w:ascii="Times New Roman" w:eastAsiaTheme="minorHAnsi" w:hAnsi="Times New Roman"/>
          <w:color w:val="auto"/>
          <w:sz w:val="24"/>
          <w:szCs w:val="24"/>
          <w:lang w:eastAsia="en-US"/>
        </w:rPr>
        <w:tab/>
        <w:t>1</w:t>
      </w:r>
      <w:r w:rsidRPr="005F0005">
        <w:rPr>
          <w:rFonts w:ascii="Times New Roman" w:eastAsiaTheme="minorHAnsi" w:hAnsi="Times New Roman"/>
          <w:color w:val="auto"/>
          <w:sz w:val="24"/>
          <w:szCs w:val="24"/>
          <w:vertAlign w:val="superscript"/>
          <w:lang w:eastAsia="en-US"/>
        </w:rPr>
        <w:t>st</w:t>
      </w:r>
      <w:r w:rsidRPr="005F0005">
        <w:rPr>
          <w:rFonts w:ascii="Times New Roman" w:eastAsiaTheme="minorHAnsi" w:hAnsi="Times New Roman"/>
          <w:color w:val="auto"/>
          <w:sz w:val="24"/>
          <w:szCs w:val="24"/>
          <w:lang w:eastAsia="en-US"/>
        </w:rPr>
        <w:t xml:space="preserve"> Year Core III (4 credits)</w:t>
      </w:r>
    </w:p>
    <w:p w14:paraId="264A3992"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Concentration II (4 credits)</w:t>
      </w:r>
    </w:p>
    <w:p w14:paraId="088F4CE4"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p>
    <w:p w14:paraId="7C8578CD" w14:textId="77777777" w:rsidR="005F0005" w:rsidRPr="005F0005" w:rsidRDefault="005F0005" w:rsidP="005F0005">
      <w:pPr>
        <w:rPr>
          <w:rFonts w:ascii="Times New Roman" w:eastAsiaTheme="minorHAnsi" w:hAnsi="Times New Roman"/>
          <w:color w:val="auto"/>
          <w:sz w:val="24"/>
          <w:szCs w:val="24"/>
          <w:lang w:eastAsia="en-US"/>
        </w:rPr>
      </w:pPr>
    </w:p>
    <w:p w14:paraId="27785699" w14:textId="77777777" w:rsidR="005F0005" w:rsidRPr="005F0005" w:rsidRDefault="005F0005" w:rsidP="005F0005">
      <w:pPr>
        <w:rPr>
          <w:rFonts w:ascii="Times New Roman" w:eastAsiaTheme="minorHAnsi" w:hAnsi="Times New Roman"/>
          <w:color w:val="auto"/>
          <w:sz w:val="24"/>
          <w:szCs w:val="24"/>
          <w:lang w:eastAsia="en-US"/>
        </w:rPr>
      </w:pPr>
    </w:p>
    <w:p w14:paraId="4E9EE474"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4"/>
          <w:szCs w:val="24"/>
          <w:lang w:eastAsia="en-US"/>
        </w:rPr>
        <w:t>Summer Year 1 (6 credits):</w:t>
      </w:r>
      <w:r w:rsidRPr="005F0005">
        <w:rPr>
          <w:rFonts w:ascii="Times New Roman" w:eastAsiaTheme="minorHAnsi" w:hAnsi="Times New Roman"/>
          <w:color w:val="auto"/>
          <w:sz w:val="24"/>
          <w:szCs w:val="24"/>
          <w:lang w:eastAsia="en-US"/>
        </w:rPr>
        <w:tab/>
        <w:t>Elective (4 credits)</w:t>
      </w:r>
    </w:p>
    <w:p w14:paraId="40AF0ACF"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163E8AC8" w14:textId="77777777" w:rsidR="005F0005" w:rsidRPr="005F0005" w:rsidRDefault="005F0005" w:rsidP="005F0005">
      <w:pPr>
        <w:rPr>
          <w:rFonts w:ascii="Times New Roman" w:eastAsiaTheme="minorHAnsi" w:hAnsi="Times New Roman"/>
          <w:color w:val="auto"/>
          <w:sz w:val="24"/>
          <w:szCs w:val="24"/>
          <w:lang w:eastAsia="en-US"/>
        </w:rPr>
      </w:pPr>
    </w:p>
    <w:p w14:paraId="785EDD7D" w14:textId="77777777" w:rsidR="005F0005" w:rsidRPr="005F0005" w:rsidRDefault="005F0005" w:rsidP="005F0005">
      <w:pPr>
        <w:rPr>
          <w:rFonts w:ascii="Times New Roman" w:eastAsiaTheme="minorHAnsi" w:hAnsi="Times New Roman"/>
          <w:color w:val="auto"/>
          <w:sz w:val="24"/>
          <w:szCs w:val="24"/>
          <w:lang w:eastAsia="en-US"/>
        </w:rPr>
      </w:pPr>
    </w:p>
    <w:p w14:paraId="6A640582" w14:textId="77777777" w:rsidR="005F0005" w:rsidRPr="005F0005" w:rsidRDefault="005F0005" w:rsidP="005F0005">
      <w:pPr>
        <w:rPr>
          <w:rFonts w:ascii="Times New Roman" w:eastAsiaTheme="minorHAnsi" w:hAnsi="Times New Roman"/>
          <w:b/>
          <w:color w:val="auto"/>
          <w:sz w:val="24"/>
          <w:szCs w:val="24"/>
          <w:u w:val="single"/>
          <w:lang w:eastAsia="en-US"/>
        </w:rPr>
      </w:pPr>
      <w:r w:rsidRPr="005F0005">
        <w:rPr>
          <w:rFonts w:ascii="Times New Roman" w:eastAsiaTheme="minorHAnsi" w:hAnsi="Times New Roman"/>
          <w:b/>
          <w:color w:val="auto"/>
          <w:sz w:val="24"/>
          <w:szCs w:val="24"/>
          <w:u w:val="single"/>
          <w:lang w:eastAsia="en-US"/>
        </w:rPr>
        <w:t>Year 2 (26 credits)</w:t>
      </w:r>
    </w:p>
    <w:p w14:paraId="1A344B3C" w14:textId="77777777" w:rsidR="005F0005" w:rsidRPr="005F0005" w:rsidRDefault="005F0005" w:rsidP="005F0005">
      <w:pPr>
        <w:rPr>
          <w:rFonts w:ascii="Times New Roman" w:eastAsiaTheme="minorHAnsi" w:hAnsi="Times New Roman"/>
          <w:color w:val="auto"/>
          <w:sz w:val="24"/>
          <w:szCs w:val="24"/>
          <w:lang w:eastAsia="en-US"/>
        </w:rPr>
      </w:pPr>
    </w:p>
    <w:p w14:paraId="6336EBB3"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Fall Quarter:  </w:t>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Analytical Techniques for Public Service I (4 credits)</w:t>
      </w:r>
    </w:p>
    <w:p w14:paraId="4CFD26FD"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(4 credits)</w:t>
      </w:r>
    </w:p>
    <w:p w14:paraId="26CDA682"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p>
    <w:p w14:paraId="3A798099" w14:textId="77777777" w:rsidR="005F0005" w:rsidRPr="005F0005" w:rsidRDefault="005F0005" w:rsidP="005F0005">
      <w:pPr>
        <w:rPr>
          <w:rFonts w:ascii="Times New Roman" w:eastAsiaTheme="minorHAnsi" w:hAnsi="Times New Roman"/>
          <w:color w:val="auto"/>
          <w:sz w:val="24"/>
          <w:szCs w:val="24"/>
          <w:lang w:eastAsia="en-US"/>
        </w:rPr>
      </w:pPr>
    </w:p>
    <w:p w14:paraId="62475056"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Winter Quarter: </w:t>
      </w:r>
      <w:r w:rsidRPr="005F0005">
        <w:rPr>
          <w:rFonts w:ascii="Times New Roman" w:eastAsiaTheme="minorHAnsi" w:hAnsi="Times New Roman"/>
          <w:color w:val="auto"/>
          <w:sz w:val="24"/>
          <w:szCs w:val="24"/>
          <w:lang w:eastAsia="en-US"/>
        </w:rPr>
        <w:tab/>
        <w:t>Analytical Techniques for Public Service II (4 credits)</w:t>
      </w:r>
    </w:p>
    <w:p w14:paraId="64E1DC84"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Concentration III (4 credits)</w:t>
      </w:r>
    </w:p>
    <w:p w14:paraId="47D595A9"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67DB48D6" w14:textId="77777777" w:rsidR="005F0005" w:rsidRPr="005F0005" w:rsidRDefault="005F0005" w:rsidP="005F0005">
      <w:pPr>
        <w:rPr>
          <w:rFonts w:ascii="Times New Roman" w:eastAsiaTheme="minorHAnsi" w:hAnsi="Times New Roman"/>
          <w:color w:val="auto"/>
          <w:sz w:val="24"/>
          <w:szCs w:val="24"/>
          <w:lang w:eastAsia="en-US"/>
        </w:rPr>
      </w:pPr>
    </w:p>
    <w:p w14:paraId="62862EC7"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Spring Quarter:</w:t>
      </w:r>
      <w:r w:rsidRPr="005F0005">
        <w:rPr>
          <w:rFonts w:ascii="Times New Roman" w:eastAsiaTheme="minorHAnsi" w:hAnsi="Times New Roman"/>
          <w:color w:val="auto"/>
          <w:sz w:val="24"/>
          <w:szCs w:val="24"/>
          <w:lang w:eastAsia="en-US"/>
        </w:rPr>
        <w:tab/>
        <w:t>Analytic Techniques for Public Service III (4 credits)</w:t>
      </w:r>
    </w:p>
    <w:p w14:paraId="50BD7DDB" w14:textId="77777777" w:rsidR="005F0005" w:rsidRPr="005F0005" w:rsidRDefault="005F0005" w:rsidP="005F0005">
      <w:pPr>
        <w:ind w:left="1440" w:firstLine="720"/>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Capstone (4 credits)</w:t>
      </w:r>
    </w:p>
    <w:p w14:paraId="1092142D" w14:textId="77777777" w:rsidR="005F0005" w:rsidRPr="005F0005" w:rsidRDefault="005F0005" w:rsidP="005F0005">
      <w:pPr>
        <w:rPr>
          <w:rFonts w:ascii="Times New Roman" w:eastAsiaTheme="minorHAnsi" w:hAnsi="Times New Roman"/>
          <w:color w:val="auto"/>
          <w:sz w:val="24"/>
          <w:szCs w:val="24"/>
          <w:lang w:eastAsia="en-US"/>
        </w:rPr>
      </w:pPr>
    </w:p>
    <w:p w14:paraId="4F1CBF1D" w14:textId="77777777" w:rsidR="005F0005" w:rsidRPr="005F0005" w:rsidRDefault="005F0005" w:rsidP="005F0005">
      <w:pPr>
        <w:rPr>
          <w:rFonts w:ascii="Times New Roman" w:eastAsiaTheme="minorHAnsi" w:hAnsi="Times New Roman"/>
          <w:color w:val="auto"/>
          <w:sz w:val="24"/>
          <w:szCs w:val="24"/>
          <w:lang w:eastAsia="en-US"/>
        </w:rPr>
      </w:pPr>
    </w:p>
    <w:p w14:paraId="1CDCA14A"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br w:type="page"/>
      </w:r>
    </w:p>
    <w:p w14:paraId="572460FC"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lastRenderedPageBreak/>
        <w:t>Sample Part-Time Student Schedule (4-6 credits per quarter)</w:t>
      </w:r>
    </w:p>
    <w:p w14:paraId="29A979DE" w14:textId="77777777" w:rsidR="005F0005" w:rsidRPr="005F0005" w:rsidRDefault="005F0005" w:rsidP="005F0005">
      <w:pPr>
        <w:rPr>
          <w:rFonts w:ascii="Times New Roman" w:eastAsiaTheme="minorHAnsi" w:hAnsi="Times New Roman"/>
          <w:color w:val="auto"/>
          <w:sz w:val="24"/>
          <w:szCs w:val="24"/>
          <w:lang w:eastAsia="en-US"/>
        </w:rPr>
      </w:pPr>
    </w:p>
    <w:p w14:paraId="65B4F6B7" w14:textId="77777777" w:rsidR="005F0005" w:rsidRPr="005F0005" w:rsidRDefault="005F0005" w:rsidP="005F0005">
      <w:pPr>
        <w:rPr>
          <w:rFonts w:ascii="Times New Roman" w:eastAsiaTheme="minorHAnsi" w:hAnsi="Times New Roman"/>
          <w:color w:val="auto"/>
          <w:sz w:val="24"/>
          <w:szCs w:val="24"/>
          <w:lang w:eastAsia="en-US"/>
        </w:rPr>
      </w:pPr>
    </w:p>
    <w:p w14:paraId="6A69A5BE" w14:textId="77777777" w:rsidR="005F0005" w:rsidRPr="005F0005" w:rsidRDefault="005F0005" w:rsidP="005F0005">
      <w:pPr>
        <w:rPr>
          <w:rFonts w:ascii="Times New Roman" w:eastAsiaTheme="minorHAnsi" w:hAnsi="Times New Roman"/>
          <w:b/>
          <w:color w:val="auto"/>
          <w:sz w:val="24"/>
          <w:szCs w:val="24"/>
          <w:u w:val="single"/>
          <w:lang w:eastAsia="en-US"/>
        </w:rPr>
      </w:pPr>
      <w:r w:rsidRPr="005F0005">
        <w:rPr>
          <w:rFonts w:ascii="Times New Roman" w:eastAsiaTheme="minorHAnsi" w:hAnsi="Times New Roman"/>
          <w:b/>
          <w:color w:val="auto"/>
          <w:sz w:val="24"/>
          <w:szCs w:val="24"/>
          <w:u w:val="single"/>
          <w:lang w:eastAsia="en-US"/>
        </w:rPr>
        <w:t>Year 1 (16 credits)</w:t>
      </w:r>
    </w:p>
    <w:p w14:paraId="72084D00" w14:textId="77777777" w:rsidR="005F0005" w:rsidRPr="005F0005" w:rsidRDefault="005F0005" w:rsidP="005F0005">
      <w:pPr>
        <w:rPr>
          <w:rFonts w:ascii="Times New Roman" w:eastAsiaTheme="minorHAnsi" w:hAnsi="Times New Roman"/>
          <w:color w:val="auto"/>
          <w:sz w:val="24"/>
          <w:szCs w:val="24"/>
          <w:lang w:eastAsia="en-US"/>
        </w:rPr>
      </w:pPr>
    </w:p>
    <w:p w14:paraId="437EF72E"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Fall Quarter:  </w:t>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1</w:t>
      </w:r>
      <w:r w:rsidRPr="005F0005">
        <w:rPr>
          <w:rFonts w:ascii="Times New Roman" w:eastAsiaTheme="minorHAnsi" w:hAnsi="Times New Roman"/>
          <w:color w:val="auto"/>
          <w:sz w:val="24"/>
          <w:szCs w:val="24"/>
          <w:vertAlign w:val="superscript"/>
          <w:lang w:eastAsia="en-US"/>
        </w:rPr>
        <w:t>st</w:t>
      </w:r>
      <w:r w:rsidRPr="005F0005">
        <w:rPr>
          <w:rFonts w:ascii="Times New Roman" w:eastAsiaTheme="minorHAnsi" w:hAnsi="Times New Roman"/>
          <w:color w:val="auto"/>
          <w:sz w:val="24"/>
          <w:szCs w:val="24"/>
          <w:lang w:eastAsia="en-US"/>
        </w:rPr>
        <w:t xml:space="preserve"> Year Core I (4 credits)</w:t>
      </w:r>
    </w:p>
    <w:p w14:paraId="78DD750D"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62E06FA7" w14:textId="77777777" w:rsidR="005F0005" w:rsidRPr="005F0005" w:rsidRDefault="005F0005" w:rsidP="005F0005">
      <w:pPr>
        <w:rPr>
          <w:rFonts w:ascii="Times New Roman" w:eastAsiaTheme="minorHAnsi" w:hAnsi="Times New Roman"/>
          <w:color w:val="auto"/>
          <w:sz w:val="24"/>
          <w:szCs w:val="24"/>
          <w:lang w:eastAsia="en-US"/>
        </w:rPr>
      </w:pPr>
    </w:p>
    <w:p w14:paraId="5728444A"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Winter Quarter: </w:t>
      </w:r>
      <w:r w:rsidRPr="005F0005">
        <w:rPr>
          <w:rFonts w:ascii="Times New Roman" w:eastAsiaTheme="minorHAnsi" w:hAnsi="Times New Roman"/>
          <w:color w:val="auto"/>
          <w:sz w:val="24"/>
          <w:szCs w:val="24"/>
          <w:lang w:eastAsia="en-US"/>
        </w:rPr>
        <w:tab/>
        <w:t>1</w:t>
      </w:r>
      <w:r w:rsidRPr="005F0005">
        <w:rPr>
          <w:rFonts w:ascii="Times New Roman" w:eastAsiaTheme="minorHAnsi" w:hAnsi="Times New Roman"/>
          <w:color w:val="auto"/>
          <w:sz w:val="24"/>
          <w:szCs w:val="24"/>
          <w:vertAlign w:val="superscript"/>
          <w:lang w:eastAsia="en-US"/>
        </w:rPr>
        <w:t>st</w:t>
      </w:r>
      <w:r w:rsidRPr="005F0005">
        <w:rPr>
          <w:rFonts w:ascii="Times New Roman" w:eastAsiaTheme="minorHAnsi" w:hAnsi="Times New Roman"/>
          <w:color w:val="auto"/>
          <w:sz w:val="24"/>
          <w:szCs w:val="24"/>
          <w:lang w:eastAsia="en-US"/>
        </w:rPr>
        <w:t xml:space="preserve"> Year Core II (4 credits)</w:t>
      </w:r>
    </w:p>
    <w:p w14:paraId="3ED0B6EE"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p>
    <w:p w14:paraId="68069F73" w14:textId="77777777" w:rsidR="005F0005" w:rsidRPr="005F0005" w:rsidRDefault="005F0005" w:rsidP="005F0005">
      <w:pPr>
        <w:rPr>
          <w:rFonts w:ascii="Times New Roman" w:eastAsiaTheme="minorHAnsi" w:hAnsi="Times New Roman"/>
          <w:color w:val="auto"/>
          <w:sz w:val="24"/>
          <w:szCs w:val="24"/>
          <w:lang w:eastAsia="en-US"/>
        </w:rPr>
      </w:pPr>
    </w:p>
    <w:p w14:paraId="611FFA8F"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Spring Quarter:</w:t>
      </w:r>
      <w:r w:rsidRPr="005F0005">
        <w:rPr>
          <w:rFonts w:ascii="Times New Roman" w:eastAsiaTheme="minorHAnsi" w:hAnsi="Times New Roman"/>
          <w:color w:val="auto"/>
          <w:sz w:val="24"/>
          <w:szCs w:val="24"/>
          <w:lang w:eastAsia="en-US"/>
        </w:rPr>
        <w:tab/>
        <w:t>1</w:t>
      </w:r>
      <w:r w:rsidRPr="005F0005">
        <w:rPr>
          <w:rFonts w:ascii="Times New Roman" w:eastAsiaTheme="minorHAnsi" w:hAnsi="Times New Roman"/>
          <w:color w:val="auto"/>
          <w:sz w:val="24"/>
          <w:szCs w:val="24"/>
          <w:vertAlign w:val="superscript"/>
          <w:lang w:eastAsia="en-US"/>
        </w:rPr>
        <w:t>st</w:t>
      </w:r>
      <w:r w:rsidRPr="005F0005">
        <w:rPr>
          <w:rFonts w:ascii="Times New Roman" w:eastAsiaTheme="minorHAnsi" w:hAnsi="Times New Roman"/>
          <w:color w:val="auto"/>
          <w:sz w:val="24"/>
          <w:szCs w:val="24"/>
          <w:lang w:eastAsia="en-US"/>
        </w:rPr>
        <w:t xml:space="preserve"> Year Core III (4 credits)</w:t>
      </w:r>
    </w:p>
    <w:p w14:paraId="22DC1C7D"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713DA765"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p>
    <w:p w14:paraId="654BD28A" w14:textId="77777777" w:rsidR="005F0005" w:rsidRPr="005F0005" w:rsidRDefault="005F0005" w:rsidP="005F0005">
      <w:pPr>
        <w:rPr>
          <w:rFonts w:ascii="Times New Roman" w:eastAsiaTheme="minorHAnsi" w:hAnsi="Times New Roman"/>
          <w:color w:val="auto"/>
          <w:sz w:val="24"/>
          <w:szCs w:val="24"/>
          <w:lang w:eastAsia="en-US"/>
        </w:rPr>
      </w:pPr>
    </w:p>
    <w:p w14:paraId="28D8D3EC" w14:textId="77777777" w:rsidR="005F0005" w:rsidRPr="005F0005" w:rsidRDefault="005F0005" w:rsidP="005F0005">
      <w:pPr>
        <w:rPr>
          <w:rFonts w:ascii="Times New Roman" w:eastAsiaTheme="minorHAnsi" w:hAnsi="Times New Roman"/>
          <w:color w:val="auto"/>
          <w:sz w:val="24"/>
          <w:szCs w:val="24"/>
          <w:lang w:eastAsia="en-US"/>
        </w:rPr>
      </w:pPr>
    </w:p>
    <w:p w14:paraId="2146CBC5"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b/>
          <w:color w:val="auto"/>
          <w:sz w:val="24"/>
          <w:szCs w:val="24"/>
          <w:lang w:eastAsia="en-US"/>
        </w:rPr>
        <w:t>Summer Year 1 (6 credits):</w:t>
      </w:r>
      <w:r w:rsidRPr="005F0005">
        <w:rPr>
          <w:rFonts w:ascii="Times New Roman" w:eastAsiaTheme="minorHAnsi" w:hAnsi="Times New Roman"/>
          <w:color w:val="auto"/>
          <w:sz w:val="24"/>
          <w:szCs w:val="24"/>
          <w:lang w:eastAsia="en-US"/>
        </w:rPr>
        <w:tab/>
        <w:t>Elective (4 credits)</w:t>
      </w:r>
    </w:p>
    <w:p w14:paraId="3403FF89"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186F02BD"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p>
    <w:p w14:paraId="75C8C993" w14:textId="77777777" w:rsidR="005F0005" w:rsidRPr="005F0005" w:rsidRDefault="005F0005" w:rsidP="005F0005">
      <w:pPr>
        <w:rPr>
          <w:rFonts w:ascii="Times New Roman" w:eastAsiaTheme="minorHAnsi" w:hAnsi="Times New Roman"/>
          <w:color w:val="auto"/>
          <w:sz w:val="24"/>
          <w:szCs w:val="24"/>
          <w:lang w:eastAsia="en-US"/>
        </w:rPr>
      </w:pPr>
    </w:p>
    <w:p w14:paraId="32EA0018" w14:textId="77777777" w:rsidR="005F0005" w:rsidRPr="005F0005" w:rsidRDefault="005F0005" w:rsidP="005F0005">
      <w:pPr>
        <w:rPr>
          <w:rFonts w:ascii="Times New Roman" w:eastAsiaTheme="minorHAnsi" w:hAnsi="Times New Roman"/>
          <w:b/>
          <w:color w:val="auto"/>
          <w:sz w:val="24"/>
          <w:szCs w:val="24"/>
          <w:u w:val="single"/>
          <w:lang w:eastAsia="en-US"/>
        </w:rPr>
      </w:pPr>
      <w:r w:rsidRPr="005F0005">
        <w:rPr>
          <w:rFonts w:ascii="Times New Roman" w:eastAsiaTheme="minorHAnsi" w:hAnsi="Times New Roman"/>
          <w:b/>
          <w:color w:val="auto"/>
          <w:sz w:val="24"/>
          <w:szCs w:val="24"/>
          <w:u w:val="single"/>
          <w:lang w:eastAsia="en-US"/>
        </w:rPr>
        <w:t>Year 2 (16 credits)</w:t>
      </w:r>
    </w:p>
    <w:p w14:paraId="56125D94" w14:textId="77777777" w:rsidR="005F0005" w:rsidRPr="005F0005" w:rsidRDefault="005F0005" w:rsidP="005F0005">
      <w:pPr>
        <w:rPr>
          <w:rFonts w:ascii="Times New Roman" w:eastAsiaTheme="minorHAnsi" w:hAnsi="Times New Roman"/>
          <w:color w:val="auto"/>
          <w:sz w:val="24"/>
          <w:szCs w:val="24"/>
          <w:lang w:eastAsia="en-US"/>
        </w:rPr>
      </w:pPr>
    </w:p>
    <w:p w14:paraId="199CCDD6"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Fall Quarter:  </w:t>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Analytical Techniques for Public Service I (4 credits)</w:t>
      </w:r>
    </w:p>
    <w:p w14:paraId="2F9140C4"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726E779E"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p>
    <w:p w14:paraId="12EFCF21" w14:textId="77777777" w:rsidR="005F0005" w:rsidRPr="005F0005" w:rsidRDefault="005F0005" w:rsidP="005F0005">
      <w:pPr>
        <w:rPr>
          <w:rFonts w:ascii="Times New Roman" w:eastAsiaTheme="minorHAnsi" w:hAnsi="Times New Roman"/>
          <w:color w:val="auto"/>
          <w:sz w:val="24"/>
          <w:szCs w:val="24"/>
          <w:lang w:eastAsia="en-US"/>
        </w:rPr>
      </w:pPr>
    </w:p>
    <w:p w14:paraId="14E9D9AA"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 xml:space="preserve">Winter Quarter: </w:t>
      </w:r>
      <w:r w:rsidRPr="005F0005">
        <w:rPr>
          <w:rFonts w:ascii="Times New Roman" w:eastAsiaTheme="minorHAnsi" w:hAnsi="Times New Roman"/>
          <w:color w:val="auto"/>
          <w:sz w:val="24"/>
          <w:szCs w:val="24"/>
          <w:lang w:eastAsia="en-US"/>
        </w:rPr>
        <w:tab/>
        <w:t>Analytical Techniques for Public Service II (4 credits)</w:t>
      </w:r>
    </w:p>
    <w:p w14:paraId="6A501CD5"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Elective (2 credits)</w:t>
      </w:r>
    </w:p>
    <w:p w14:paraId="1E6EFB8F" w14:textId="77777777" w:rsidR="005F0005" w:rsidRPr="005F0005" w:rsidRDefault="005F0005" w:rsidP="005F0005">
      <w:pPr>
        <w:rPr>
          <w:rFonts w:ascii="Times New Roman" w:eastAsiaTheme="minorHAnsi" w:hAnsi="Times New Roman"/>
          <w:color w:val="auto"/>
          <w:sz w:val="24"/>
          <w:szCs w:val="24"/>
          <w:lang w:eastAsia="en-US"/>
        </w:rPr>
      </w:pPr>
    </w:p>
    <w:p w14:paraId="22B5712C"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Spring Quarter:</w:t>
      </w:r>
      <w:r w:rsidRPr="005F0005">
        <w:rPr>
          <w:rFonts w:ascii="Times New Roman" w:eastAsiaTheme="minorHAnsi" w:hAnsi="Times New Roman"/>
          <w:color w:val="auto"/>
          <w:sz w:val="24"/>
          <w:szCs w:val="24"/>
          <w:lang w:eastAsia="en-US"/>
        </w:rPr>
        <w:tab/>
        <w:t>Analytic Techniques for Public Service (4 credits)</w:t>
      </w:r>
    </w:p>
    <w:p w14:paraId="25C35EC2" w14:textId="77777777" w:rsidR="005F0005" w:rsidRPr="005F0005" w:rsidRDefault="005F0005" w:rsidP="005F0005">
      <w:pPr>
        <w:rPr>
          <w:rFonts w:ascii="Times New Roman" w:eastAsiaTheme="minorHAnsi" w:hAnsi="Times New Roman"/>
          <w:color w:val="auto"/>
          <w:sz w:val="24"/>
          <w:szCs w:val="24"/>
          <w:lang w:eastAsia="en-US"/>
        </w:rPr>
      </w:pPr>
    </w:p>
    <w:p w14:paraId="5316EDAD" w14:textId="77777777" w:rsidR="005F0005" w:rsidRPr="005F0005" w:rsidRDefault="005F0005" w:rsidP="005F0005">
      <w:pPr>
        <w:rPr>
          <w:rFonts w:ascii="Times New Roman" w:eastAsiaTheme="minorHAnsi" w:hAnsi="Times New Roman"/>
          <w:color w:val="auto"/>
          <w:sz w:val="24"/>
          <w:szCs w:val="24"/>
          <w:lang w:eastAsia="en-US"/>
        </w:rPr>
      </w:pPr>
    </w:p>
    <w:p w14:paraId="31A8DE57"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Summer Year 2 (6 credits):</w:t>
      </w:r>
      <w:r w:rsidRPr="005F0005">
        <w:rPr>
          <w:rFonts w:ascii="Times New Roman" w:eastAsiaTheme="minorHAnsi" w:hAnsi="Times New Roman"/>
          <w:b/>
          <w:color w:val="auto"/>
          <w:sz w:val="24"/>
          <w:szCs w:val="24"/>
          <w:lang w:eastAsia="en-US"/>
        </w:rPr>
        <w:tab/>
        <w:t>Elective (4 credits)</w:t>
      </w:r>
    </w:p>
    <w:p w14:paraId="366676F0" w14:textId="77777777" w:rsidR="005F0005" w:rsidRPr="005F0005" w:rsidRDefault="005F0005" w:rsidP="005F0005">
      <w:pPr>
        <w:rPr>
          <w:rFonts w:ascii="Times New Roman" w:eastAsiaTheme="minorHAnsi" w:hAnsi="Times New Roman"/>
          <w:b/>
          <w:color w:val="auto"/>
          <w:sz w:val="24"/>
          <w:szCs w:val="24"/>
          <w:lang w:eastAsia="en-US"/>
        </w:rPr>
      </w:pPr>
      <w:r w:rsidRPr="005F0005">
        <w:rPr>
          <w:rFonts w:ascii="Times New Roman" w:eastAsiaTheme="minorHAnsi" w:hAnsi="Times New Roman"/>
          <w:b/>
          <w:color w:val="auto"/>
          <w:sz w:val="24"/>
          <w:szCs w:val="24"/>
          <w:lang w:eastAsia="en-US"/>
        </w:rPr>
        <w:tab/>
      </w:r>
      <w:r w:rsidRPr="005F0005">
        <w:rPr>
          <w:rFonts w:ascii="Times New Roman" w:eastAsiaTheme="minorHAnsi" w:hAnsi="Times New Roman"/>
          <w:b/>
          <w:color w:val="auto"/>
          <w:sz w:val="24"/>
          <w:szCs w:val="24"/>
          <w:lang w:eastAsia="en-US"/>
        </w:rPr>
        <w:tab/>
      </w:r>
      <w:r w:rsidRPr="005F0005">
        <w:rPr>
          <w:rFonts w:ascii="Times New Roman" w:eastAsiaTheme="minorHAnsi" w:hAnsi="Times New Roman"/>
          <w:b/>
          <w:color w:val="auto"/>
          <w:sz w:val="24"/>
          <w:szCs w:val="24"/>
          <w:lang w:eastAsia="en-US"/>
        </w:rPr>
        <w:tab/>
      </w:r>
      <w:r w:rsidRPr="005F0005">
        <w:rPr>
          <w:rFonts w:ascii="Times New Roman" w:eastAsiaTheme="minorHAnsi" w:hAnsi="Times New Roman"/>
          <w:b/>
          <w:color w:val="auto"/>
          <w:sz w:val="24"/>
          <w:szCs w:val="24"/>
          <w:lang w:eastAsia="en-US"/>
        </w:rPr>
        <w:tab/>
        <w:t>Elective (2 credits)</w:t>
      </w:r>
    </w:p>
    <w:p w14:paraId="13EDAC08" w14:textId="77777777" w:rsidR="005F0005" w:rsidRPr="005F0005" w:rsidRDefault="005F0005" w:rsidP="005F0005">
      <w:pPr>
        <w:rPr>
          <w:rFonts w:ascii="Times New Roman" w:eastAsiaTheme="minorHAnsi" w:hAnsi="Times New Roman"/>
          <w:color w:val="auto"/>
          <w:sz w:val="24"/>
          <w:szCs w:val="24"/>
          <w:lang w:eastAsia="en-US"/>
        </w:rPr>
      </w:pPr>
    </w:p>
    <w:p w14:paraId="1FED7664" w14:textId="77777777" w:rsidR="005F0005" w:rsidRPr="005F0005" w:rsidRDefault="005F0005" w:rsidP="005F0005">
      <w:pPr>
        <w:rPr>
          <w:rFonts w:ascii="Times New Roman" w:eastAsiaTheme="minorHAnsi" w:hAnsi="Times New Roman"/>
          <w:color w:val="auto"/>
          <w:sz w:val="24"/>
          <w:szCs w:val="24"/>
          <w:lang w:eastAsia="en-US"/>
        </w:rPr>
      </w:pPr>
    </w:p>
    <w:p w14:paraId="73E398BE" w14:textId="77777777" w:rsidR="005F0005" w:rsidRPr="005F0005" w:rsidRDefault="005F0005" w:rsidP="005F0005">
      <w:pPr>
        <w:rPr>
          <w:rFonts w:ascii="Times New Roman" w:eastAsiaTheme="minorHAnsi" w:hAnsi="Times New Roman"/>
          <w:b/>
          <w:color w:val="auto"/>
          <w:sz w:val="24"/>
          <w:szCs w:val="24"/>
          <w:u w:val="single"/>
          <w:lang w:eastAsia="en-US"/>
        </w:rPr>
      </w:pPr>
      <w:r w:rsidRPr="005F0005">
        <w:rPr>
          <w:rFonts w:ascii="Times New Roman" w:eastAsiaTheme="minorHAnsi" w:hAnsi="Times New Roman"/>
          <w:b/>
          <w:color w:val="auto"/>
          <w:sz w:val="24"/>
          <w:szCs w:val="24"/>
          <w:u w:val="single"/>
          <w:lang w:eastAsia="en-US"/>
        </w:rPr>
        <w:t>Year 3 (16 credits)</w:t>
      </w:r>
    </w:p>
    <w:p w14:paraId="7D67969F" w14:textId="77777777" w:rsidR="005F0005" w:rsidRPr="005F0005" w:rsidRDefault="005F0005" w:rsidP="005F0005">
      <w:pPr>
        <w:rPr>
          <w:rFonts w:ascii="Times New Roman" w:eastAsiaTheme="minorHAnsi" w:hAnsi="Times New Roman"/>
          <w:color w:val="auto"/>
          <w:sz w:val="24"/>
          <w:szCs w:val="24"/>
          <w:lang w:eastAsia="en-US"/>
        </w:rPr>
      </w:pPr>
    </w:p>
    <w:p w14:paraId="0A0A5DA8"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Fall Quarter:</w:t>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Concentration course (4 credits)</w:t>
      </w:r>
    </w:p>
    <w:p w14:paraId="4AB7AE4D" w14:textId="77777777" w:rsidR="005F0005" w:rsidRPr="005F0005" w:rsidRDefault="005F0005" w:rsidP="005F0005">
      <w:pPr>
        <w:rPr>
          <w:rFonts w:ascii="Times New Roman" w:eastAsiaTheme="minorHAnsi" w:hAnsi="Times New Roman"/>
          <w:color w:val="auto"/>
          <w:sz w:val="24"/>
          <w:szCs w:val="24"/>
          <w:lang w:eastAsia="en-US"/>
        </w:rPr>
      </w:pPr>
    </w:p>
    <w:p w14:paraId="03A6A9A0"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Winter Quarter:</w:t>
      </w:r>
      <w:r w:rsidRPr="005F0005">
        <w:rPr>
          <w:rFonts w:ascii="Times New Roman" w:eastAsiaTheme="minorHAnsi" w:hAnsi="Times New Roman"/>
          <w:color w:val="auto"/>
          <w:sz w:val="24"/>
          <w:szCs w:val="24"/>
          <w:lang w:eastAsia="en-US"/>
        </w:rPr>
        <w:tab/>
        <w:t>Concentration course (4 credits)</w:t>
      </w:r>
    </w:p>
    <w:p w14:paraId="2BC616F3" w14:textId="77777777" w:rsidR="005F0005" w:rsidRPr="005F0005" w:rsidRDefault="005F0005" w:rsidP="005F0005">
      <w:pPr>
        <w:rPr>
          <w:rFonts w:ascii="Times New Roman" w:eastAsiaTheme="minorHAnsi" w:hAnsi="Times New Roman"/>
          <w:color w:val="auto"/>
          <w:sz w:val="24"/>
          <w:szCs w:val="24"/>
          <w:lang w:eastAsia="en-US"/>
        </w:rPr>
      </w:pPr>
    </w:p>
    <w:p w14:paraId="696B281D"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Spring Quarter:</w:t>
      </w:r>
      <w:r w:rsidRPr="005F0005">
        <w:rPr>
          <w:rFonts w:ascii="Times New Roman" w:eastAsiaTheme="minorHAnsi" w:hAnsi="Times New Roman"/>
          <w:color w:val="auto"/>
          <w:sz w:val="24"/>
          <w:szCs w:val="24"/>
          <w:lang w:eastAsia="en-US"/>
        </w:rPr>
        <w:tab/>
        <w:t>Concentration course (4 credits)</w:t>
      </w:r>
    </w:p>
    <w:p w14:paraId="4EEED772" w14:textId="77777777" w:rsidR="005F0005" w:rsidRPr="005F0005" w:rsidRDefault="005F0005" w:rsidP="005F0005">
      <w:pPr>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r>
      <w:r w:rsidRPr="005F0005">
        <w:rPr>
          <w:rFonts w:ascii="Times New Roman" w:eastAsiaTheme="minorHAnsi" w:hAnsi="Times New Roman"/>
          <w:color w:val="auto"/>
          <w:sz w:val="24"/>
          <w:szCs w:val="24"/>
          <w:lang w:eastAsia="en-US"/>
        </w:rPr>
        <w:tab/>
        <w:t>Capstone (4 credits)</w:t>
      </w:r>
    </w:p>
    <w:p w14:paraId="3BCC145E"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br w:type="page"/>
      </w:r>
    </w:p>
    <w:p w14:paraId="1F363FD4"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sectPr w:rsidR="005F0005" w:rsidRPr="005F0005">
          <w:headerReference w:type="default" r:id="rId9"/>
          <w:pgSz w:w="12240" w:h="15840"/>
          <w:pgMar w:top="1440" w:right="1440" w:bottom="1440" w:left="1440" w:header="720" w:footer="720" w:gutter="0"/>
          <w:cols w:space="720"/>
          <w:docGrid w:linePitch="360"/>
        </w:sectPr>
      </w:pPr>
    </w:p>
    <w:p w14:paraId="7F3B6E25"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color w:val="auto"/>
          <w:sz w:val="24"/>
          <w:szCs w:val="24"/>
          <w:lang w:eastAsia="en-US"/>
        </w:rPr>
        <w:lastRenderedPageBreak/>
        <w:t>Appendix 3: Sample Course Schedules Year 1 and Year 2</w:t>
      </w:r>
      <w:r w:rsidRPr="005F0005">
        <w:rPr>
          <w:rFonts w:ascii="Times New Roman" w:eastAsiaTheme="minorHAnsi" w:hAnsi="Times New Roman"/>
          <w:color w:val="auto"/>
          <w:sz w:val="24"/>
          <w:szCs w:val="24"/>
          <w:vertAlign w:val="superscript"/>
          <w:lang w:eastAsia="en-US"/>
        </w:rPr>
        <w:footnoteReference w:id="3"/>
      </w:r>
    </w:p>
    <w:p w14:paraId="25FD823F"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bookmarkStart w:id="0" w:name="_GoBack"/>
      <w:r w:rsidRPr="005F0005">
        <w:rPr>
          <w:rFonts w:ascii="Times New Roman" w:eastAsiaTheme="minorHAnsi" w:hAnsi="Times New Roman"/>
          <w:noProof/>
          <w:color w:val="auto"/>
          <w:sz w:val="24"/>
          <w:szCs w:val="24"/>
          <w:lang w:eastAsia="en-US"/>
        </w:rPr>
        <w:drawing>
          <wp:inline distT="0" distB="0" distL="0" distR="0" wp14:anchorId="0AE8E53A" wp14:editId="23AEA402">
            <wp:extent cx="7648575" cy="51820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5117" cy="5206764"/>
                    </a:xfrm>
                    <a:prstGeom prst="rect">
                      <a:avLst/>
                    </a:prstGeom>
                    <a:noFill/>
                    <a:ln>
                      <a:noFill/>
                    </a:ln>
                  </pic:spPr>
                </pic:pic>
              </a:graphicData>
            </a:graphic>
          </wp:inline>
        </w:drawing>
      </w:r>
      <w:bookmarkEnd w:id="0"/>
    </w:p>
    <w:p w14:paraId="097A67A8" w14:textId="77777777" w:rsidR="005F0005" w:rsidRPr="005F0005" w:rsidRDefault="005F0005" w:rsidP="005F0005">
      <w:pPr>
        <w:spacing w:after="160" w:line="259" w:lineRule="auto"/>
        <w:rPr>
          <w:rFonts w:ascii="Times New Roman" w:eastAsiaTheme="minorHAnsi" w:hAnsi="Times New Roman"/>
          <w:color w:val="auto"/>
          <w:sz w:val="24"/>
          <w:szCs w:val="24"/>
          <w:lang w:eastAsia="en-US"/>
        </w:rPr>
      </w:pPr>
      <w:r w:rsidRPr="005F0005">
        <w:rPr>
          <w:rFonts w:ascii="Times New Roman" w:eastAsiaTheme="minorHAnsi" w:hAnsi="Times New Roman"/>
          <w:noProof/>
          <w:color w:val="auto"/>
          <w:sz w:val="24"/>
          <w:szCs w:val="24"/>
          <w:lang w:eastAsia="en-US"/>
        </w:rPr>
        <w:lastRenderedPageBreak/>
        <w:drawing>
          <wp:inline distT="0" distB="0" distL="0" distR="0" wp14:anchorId="7DD6B491" wp14:editId="30DA28B2">
            <wp:extent cx="8229600" cy="567640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5676405"/>
                    </a:xfrm>
                    <a:prstGeom prst="rect">
                      <a:avLst/>
                    </a:prstGeom>
                    <a:noFill/>
                    <a:ln>
                      <a:noFill/>
                    </a:ln>
                  </pic:spPr>
                </pic:pic>
              </a:graphicData>
            </a:graphic>
          </wp:inline>
        </w:drawing>
      </w:r>
    </w:p>
    <w:p w14:paraId="6B37C95C" w14:textId="0C116161" w:rsidR="005F0005" w:rsidRPr="005F0005" w:rsidRDefault="005F0005" w:rsidP="005F0005">
      <w:pPr>
        <w:spacing w:line="276" w:lineRule="auto"/>
        <w:ind w:left="720"/>
        <w:rPr>
          <w:rFonts w:asciiTheme="minorHAnsi" w:hAnsiTheme="minorHAnsi" w:cstheme="minorHAnsi"/>
          <w:sz w:val="24"/>
          <w:szCs w:val="24"/>
        </w:rPr>
      </w:pPr>
    </w:p>
    <w:p w14:paraId="11D1743F" w14:textId="77777777" w:rsidR="005F0005" w:rsidRPr="005F0005" w:rsidRDefault="005F0005" w:rsidP="005F0005">
      <w:pPr>
        <w:spacing w:line="276" w:lineRule="auto"/>
        <w:ind w:left="720"/>
        <w:rPr>
          <w:rFonts w:cs="Arial"/>
          <w:sz w:val="32"/>
          <w:szCs w:val="32"/>
        </w:rPr>
      </w:pPr>
    </w:p>
    <w:sectPr w:rsidR="005F0005" w:rsidRPr="005F0005" w:rsidSect="005F0005">
      <w:footerReference w:type="defaul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59DF7" w14:textId="77777777" w:rsidR="008A0C25" w:rsidRDefault="008A0C25" w:rsidP="005C7713">
      <w:r>
        <w:separator/>
      </w:r>
    </w:p>
  </w:endnote>
  <w:endnote w:type="continuationSeparator" w:id="0">
    <w:p w14:paraId="42251102" w14:textId="77777777" w:rsidR="008A0C25" w:rsidRDefault="008A0C25"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7AC9" w14:textId="5B64D9B5" w:rsidR="00A90586" w:rsidRPr="001B69D9" w:rsidRDefault="00A90586"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F0218C" w:rsidRPr="00F0218C">
      <w:rPr>
        <w:rFonts w:asciiTheme="minorHAnsi" w:hAnsiTheme="minorHAnsi" w:cstheme="minorHAnsi"/>
        <w:b/>
        <w:bCs/>
        <w:noProof/>
        <w:sz w:val="24"/>
        <w:szCs w:val="24"/>
      </w:rPr>
      <w:t>17</w:t>
    </w:r>
    <w:r w:rsidRPr="001B69D9">
      <w:rPr>
        <w:rFonts w:asciiTheme="minorHAnsi" w:hAnsiTheme="minorHAnsi" w:cstheme="minorHAnsi"/>
        <w:b/>
        <w:bCs/>
        <w:noProof/>
        <w:sz w:val="24"/>
        <w:szCs w:val="24"/>
      </w:rPr>
      <w:fldChar w:fldCharType="end"/>
    </w:r>
  </w:p>
  <w:p w14:paraId="75CA09A1" w14:textId="77777777" w:rsidR="00000000" w:rsidRDefault="008A0C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91E0" w14:textId="77777777" w:rsidR="008A0C25" w:rsidRDefault="008A0C25" w:rsidP="005C7713">
      <w:r>
        <w:separator/>
      </w:r>
    </w:p>
  </w:footnote>
  <w:footnote w:type="continuationSeparator" w:id="0">
    <w:p w14:paraId="1ABF4E44" w14:textId="77777777" w:rsidR="008A0C25" w:rsidRDefault="008A0C25" w:rsidP="005C7713">
      <w:r>
        <w:continuationSeparator/>
      </w:r>
    </w:p>
  </w:footnote>
  <w:footnote w:id="1">
    <w:p w14:paraId="3C57FE9E" w14:textId="77777777" w:rsidR="005F0005" w:rsidRDefault="005F0005" w:rsidP="005F0005">
      <w:pPr>
        <w:pStyle w:val="FootnoteText"/>
      </w:pPr>
      <w:r>
        <w:rPr>
          <w:rStyle w:val="FootnoteReference"/>
        </w:rPr>
        <w:footnoteRef/>
      </w:r>
      <w:r>
        <w:t xml:space="preserve"> Titles for the concentrations are placeholders, with permanent titles to be determined at a later date.</w:t>
      </w:r>
    </w:p>
  </w:footnote>
  <w:footnote w:id="2">
    <w:p w14:paraId="16CFD7F4" w14:textId="77777777" w:rsidR="005F0005" w:rsidRDefault="005F0005" w:rsidP="005F0005">
      <w:pPr>
        <w:pStyle w:val="FootnoteText"/>
      </w:pPr>
      <w:r>
        <w:rPr>
          <w:rStyle w:val="FootnoteReference"/>
        </w:rPr>
        <w:footnoteRef/>
      </w:r>
      <w:r>
        <w:t xml:space="preserve"> Titles for the concentrations and concentration courses are placeholders. Permanent titles to be determined at a later date.</w:t>
      </w:r>
    </w:p>
  </w:footnote>
  <w:footnote w:id="3">
    <w:p w14:paraId="3E9C7C57" w14:textId="77777777" w:rsidR="005F0005" w:rsidRDefault="005F0005" w:rsidP="005F0005">
      <w:pPr>
        <w:pStyle w:val="FootnoteText"/>
      </w:pPr>
      <w:r>
        <w:rPr>
          <w:rStyle w:val="FootnoteReference"/>
        </w:rPr>
        <w:footnoteRef/>
      </w:r>
      <w:r>
        <w:t xml:space="preserve"> Titles for concentrations and concentration courses are placeholders. Permanent titles to be determined at a later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E123" w14:textId="77777777" w:rsidR="005F0005" w:rsidRDefault="005F0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8A"/>
    <w:multiLevelType w:val="hybridMultilevel"/>
    <w:tmpl w:val="269A2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D4C96"/>
    <w:multiLevelType w:val="hybridMultilevel"/>
    <w:tmpl w:val="C49E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F124E9"/>
    <w:multiLevelType w:val="hybridMultilevel"/>
    <w:tmpl w:val="0ADAAAC8"/>
    <w:lvl w:ilvl="0" w:tplc="1B0CE88C">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53914"/>
    <w:multiLevelType w:val="hybridMultilevel"/>
    <w:tmpl w:val="42587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F6A0F"/>
    <w:multiLevelType w:val="hybridMultilevel"/>
    <w:tmpl w:val="1B22442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57252E0"/>
    <w:multiLevelType w:val="hybridMultilevel"/>
    <w:tmpl w:val="28AC9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56776A"/>
    <w:multiLevelType w:val="hybridMultilevel"/>
    <w:tmpl w:val="BF00E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783F22"/>
    <w:multiLevelType w:val="hybridMultilevel"/>
    <w:tmpl w:val="58449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D57EAF"/>
    <w:multiLevelType w:val="hybridMultilevel"/>
    <w:tmpl w:val="968AA4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0E5202"/>
    <w:multiLevelType w:val="hybridMultilevel"/>
    <w:tmpl w:val="9E7A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886084"/>
    <w:multiLevelType w:val="hybridMultilevel"/>
    <w:tmpl w:val="FABA5F4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6517D5"/>
    <w:multiLevelType w:val="hybridMultilevel"/>
    <w:tmpl w:val="02ACE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46C6116"/>
    <w:multiLevelType w:val="hybridMultilevel"/>
    <w:tmpl w:val="A12697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464F54"/>
    <w:multiLevelType w:val="hybridMultilevel"/>
    <w:tmpl w:val="5D8ADF8A"/>
    <w:lvl w:ilvl="0" w:tplc="1B0CE88C">
      <w:start w:val="1"/>
      <w:numFmt w:val="decimal"/>
      <w:lvlText w:val="%1."/>
      <w:lvlJc w:val="left"/>
      <w:pPr>
        <w:ind w:left="720" w:hanging="72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0C0FA2"/>
    <w:multiLevelType w:val="hybridMultilevel"/>
    <w:tmpl w:val="B7F49D8C"/>
    <w:lvl w:ilvl="0" w:tplc="04090011">
      <w:start w:val="1"/>
      <w:numFmt w:val="decimal"/>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9171C5"/>
    <w:multiLevelType w:val="hybridMultilevel"/>
    <w:tmpl w:val="DE5CF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E053F6"/>
    <w:multiLevelType w:val="hybridMultilevel"/>
    <w:tmpl w:val="ACEEC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B23598"/>
    <w:multiLevelType w:val="hybridMultilevel"/>
    <w:tmpl w:val="89D05040"/>
    <w:lvl w:ilvl="0" w:tplc="176606F4">
      <w:start w:val="1"/>
      <w:numFmt w:val="bullet"/>
      <w:lvlText w:val="o"/>
      <w:lvlJc w:val="left"/>
      <w:pPr>
        <w:tabs>
          <w:tab w:val="num" w:pos="720"/>
        </w:tabs>
        <w:ind w:left="720" w:hanging="360"/>
      </w:pPr>
      <w:rPr>
        <w:rFonts w:ascii="Courier New" w:hAnsi="Courier New" w:hint="default"/>
      </w:rPr>
    </w:lvl>
    <w:lvl w:ilvl="1" w:tplc="34CA9E00">
      <w:start w:val="1"/>
      <w:numFmt w:val="bullet"/>
      <w:lvlText w:val="o"/>
      <w:lvlJc w:val="left"/>
      <w:pPr>
        <w:tabs>
          <w:tab w:val="num" w:pos="1440"/>
        </w:tabs>
        <w:ind w:left="1440" w:hanging="360"/>
      </w:pPr>
      <w:rPr>
        <w:rFonts w:ascii="Courier New" w:hAnsi="Courier New" w:hint="default"/>
      </w:rPr>
    </w:lvl>
    <w:lvl w:ilvl="2" w:tplc="CBCE3D6E" w:tentative="1">
      <w:start w:val="1"/>
      <w:numFmt w:val="bullet"/>
      <w:lvlText w:val="o"/>
      <w:lvlJc w:val="left"/>
      <w:pPr>
        <w:tabs>
          <w:tab w:val="num" w:pos="2160"/>
        </w:tabs>
        <w:ind w:left="2160" w:hanging="360"/>
      </w:pPr>
      <w:rPr>
        <w:rFonts w:ascii="Courier New" w:hAnsi="Courier New" w:hint="default"/>
      </w:rPr>
    </w:lvl>
    <w:lvl w:ilvl="3" w:tplc="3626A85A" w:tentative="1">
      <w:start w:val="1"/>
      <w:numFmt w:val="bullet"/>
      <w:lvlText w:val="o"/>
      <w:lvlJc w:val="left"/>
      <w:pPr>
        <w:tabs>
          <w:tab w:val="num" w:pos="2880"/>
        </w:tabs>
        <w:ind w:left="2880" w:hanging="360"/>
      </w:pPr>
      <w:rPr>
        <w:rFonts w:ascii="Courier New" w:hAnsi="Courier New" w:hint="default"/>
      </w:rPr>
    </w:lvl>
    <w:lvl w:ilvl="4" w:tplc="0DEC794A" w:tentative="1">
      <w:start w:val="1"/>
      <w:numFmt w:val="bullet"/>
      <w:lvlText w:val="o"/>
      <w:lvlJc w:val="left"/>
      <w:pPr>
        <w:tabs>
          <w:tab w:val="num" w:pos="3600"/>
        </w:tabs>
        <w:ind w:left="3600" w:hanging="360"/>
      </w:pPr>
      <w:rPr>
        <w:rFonts w:ascii="Courier New" w:hAnsi="Courier New" w:hint="default"/>
      </w:rPr>
    </w:lvl>
    <w:lvl w:ilvl="5" w:tplc="AD341668" w:tentative="1">
      <w:start w:val="1"/>
      <w:numFmt w:val="bullet"/>
      <w:lvlText w:val="o"/>
      <w:lvlJc w:val="left"/>
      <w:pPr>
        <w:tabs>
          <w:tab w:val="num" w:pos="4320"/>
        </w:tabs>
        <w:ind w:left="4320" w:hanging="360"/>
      </w:pPr>
      <w:rPr>
        <w:rFonts w:ascii="Courier New" w:hAnsi="Courier New" w:hint="default"/>
      </w:rPr>
    </w:lvl>
    <w:lvl w:ilvl="6" w:tplc="08B8CA10" w:tentative="1">
      <w:start w:val="1"/>
      <w:numFmt w:val="bullet"/>
      <w:lvlText w:val="o"/>
      <w:lvlJc w:val="left"/>
      <w:pPr>
        <w:tabs>
          <w:tab w:val="num" w:pos="5040"/>
        </w:tabs>
        <w:ind w:left="5040" w:hanging="360"/>
      </w:pPr>
      <w:rPr>
        <w:rFonts w:ascii="Courier New" w:hAnsi="Courier New" w:hint="default"/>
      </w:rPr>
    </w:lvl>
    <w:lvl w:ilvl="7" w:tplc="83967052" w:tentative="1">
      <w:start w:val="1"/>
      <w:numFmt w:val="bullet"/>
      <w:lvlText w:val="o"/>
      <w:lvlJc w:val="left"/>
      <w:pPr>
        <w:tabs>
          <w:tab w:val="num" w:pos="5760"/>
        </w:tabs>
        <w:ind w:left="5760" w:hanging="360"/>
      </w:pPr>
      <w:rPr>
        <w:rFonts w:ascii="Courier New" w:hAnsi="Courier New" w:hint="default"/>
      </w:rPr>
    </w:lvl>
    <w:lvl w:ilvl="8" w:tplc="59742BB6"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D052566"/>
    <w:multiLevelType w:val="hybridMultilevel"/>
    <w:tmpl w:val="4C9EA4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12864"/>
    <w:multiLevelType w:val="hybridMultilevel"/>
    <w:tmpl w:val="B900C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34A79"/>
    <w:multiLevelType w:val="hybridMultilevel"/>
    <w:tmpl w:val="89BEB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B67336"/>
    <w:multiLevelType w:val="hybridMultilevel"/>
    <w:tmpl w:val="CCBCD05A"/>
    <w:lvl w:ilvl="0" w:tplc="717AC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56924"/>
    <w:multiLevelType w:val="hybridMultilevel"/>
    <w:tmpl w:val="B90C968A"/>
    <w:lvl w:ilvl="0" w:tplc="AFAAB68A">
      <w:start w:val="1"/>
      <w:numFmt w:val="bullet"/>
      <w:lvlText w:val="o"/>
      <w:lvlJc w:val="left"/>
      <w:pPr>
        <w:tabs>
          <w:tab w:val="num" w:pos="720"/>
        </w:tabs>
        <w:ind w:left="720" w:hanging="360"/>
      </w:pPr>
      <w:rPr>
        <w:rFonts w:ascii="Courier New" w:hAnsi="Courier New" w:hint="default"/>
      </w:rPr>
    </w:lvl>
    <w:lvl w:ilvl="1" w:tplc="65A62C32">
      <w:start w:val="1"/>
      <w:numFmt w:val="bullet"/>
      <w:lvlText w:val="o"/>
      <w:lvlJc w:val="left"/>
      <w:pPr>
        <w:tabs>
          <w:tab w:val="num" w:pos="1440"/>
        </w:tabs>
        <w:ind w:left="1440" w:hanging="360"/>
      </w:pPr>
      <w:rPr>
        <w:rFonts w:ascii="Courier New" w:hAnsi="Courier New" w:hint="default"/>
      </w:rPr>
    </w:lvl>
    <w:lvl w:ilvl="2" w:tplc="D1426B32" w:tentative="1">
      <w:start w:val="1"/>
      <w:numFmt w:val="bullet"/>
      <w:lvlText w:val="o"/>
      <w:lvlJc w:val="left"/>
      <w:pPr>
        <w:tabs>
          <w:tab w:val="num" w:pos="2160"/>
        </w:tabs>
        <w:ind w:left="2160" w:hanging="360"/>
      </w:pPr>
      <w:rPr>
        <w:rFonts w:ascii="Courier New" w:hAnsi="Courier New" w:hint="default"/>
      </w:rPr>
    </w:lvl>
    <w:lvl w:ilvl="3" w:tplc="C1DCA5E6" w:tentative="1">
      <w:start w:val="1"/>
      <w:numFmt w:val="bullet"/>
      <w:lvlText w:val="o"/>
      <w:lvlJc w:val="left"/>
      <w:pPr>
        <w:tabs>
          <w:tab w:val="num" w:pos="2880"/>
        </w:tabs>
        <w:ind w:left="2880" w:hanging="360"/>
      </w:pPr>
      <w:rPr>
        <w:rFonts w:ascii="Courier New" w:hAnsi="Courier New" w:hint="default"/>
      </w:rPr>
    </w:lvl>
    <w:lvl w:ilvl="4" w:tplc="19F8C69C" w:tentative="1">
      <w:start w:val="1"/>
      <w:numFmt w:val="bullet"/>
      <w:lvlText w:val="o"/>
      <w:lvlJc w:val="left"/>
      <w:pPr>
        <w:tabs>
          <w:tab w:val="num" w:pos="3600"/>
        </w:tabs>
        <w:ind w:left="3600" w:hanging="360"/>
      </w:pPr>
      <w:rPr>
        <w:rFonts w:ascii="Courier New" w:hAnsi="Courier New" w:hint="default"/>
      </w:rPr>
    </w:lvl>
    <w:lvl w:ilvl="5" w:tplc="E8360AFE" w:tentative="1">
      <w:start w:val="1"/>
      <w:numFmt w:val="bullet"/>
      <w:lvlText w:val="o"/>
      <w:lvlJc w:val="left"/>
      <w:pPr>
        <w:tabs>
          <w:tab w:val="num" w:pos="4320"/>
        </w:tabs>
        <w:ind w:left="4320" w:hanging="360"/>
      </w:pPr>
      <w:rPr>
        <w:rFonts w:ascii="Courier New" w:hAnsi="Courier New" w:hint="default"/>
      </w:rPr>
    </w:lvl>
    <w:lvl w:ilvl="6" w:tplc="2BFCCC8A" w:tentative="1">
      <w:start w:val="1"/>
      <w:numFmt w:val="bullet"/>
      <w:lvlText w:val="o"/>
      <w:lvlJc w:val="left"/>
      <w:pPr>
        <w:tabs>
          <w:tab w:val="num" w:pos="5040"/>
        </w:tabs>
        <w:ind w:left="5040" w:hanging="360"/>
      </w:pPr>
      <w:rPr>
        <w:rFonts w:ascii="Courier New" w:hAnsi="Courier New" w:hint="default"/>
      </w:rPr>
    </w:lvl>
    <w:lvl w:ilvl="7" w:tplc="8144A58E" w:tentative="1">
      <w:start w:val="1"/>
      <w:numFmt w:val="bullet"/>
      <w:lvlText w:val="o"/>
      <w:lvlJc w:val="left"/>
      <w:pPr>
        <w:tabs>
          <w:tab w:val="num" w:pos="5760"/>
        </w:tabs>
        <w:ind w:left="5760" w:hanging="360"/>
      </w:pPr>
      <w:rPr>
        <w:rFonts w:ascii="Courier New" w:hAnsi="Courier New" w:hint="default"/>
      </w:rPr>
    </w:lvl>
    <w:lvl w:ilvl="8" w:tplc="EB5CD3E2"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519B6B43"/>
    <w:multiLevelType w:val="hybridMultilevel"/>
    <w:tmpl w:val="5C2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64E57"/>
    <w:multiLevelType w:val="hybridMultilevel"/>
    <w:tmpl w:val="3D3A419A"/>
    <w:lvl w:ilvl="0" w:tplc="04090017">
      <w:start w:val="1"/>
      <w:numFmt w:val="lowerLetter"/>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15EDC"/>
    <w:multiLevelType w:val="hybridMultilevel"/>
    <w:tmpl w:val="ABA6A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916A67"/>
    <w:multiLevelType w:val="hybridMultilevel"/>
    <w:tmpl w:val="BEF43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275D"/>
    <w:multiLevelType w:val="hybridMultilevel"/>
    <w:tmpl w:val="8D3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1021D"/>
    <w:multiLevelType w:val="hybridMultilevel"/>
    <w:tmpl w:val="6F4C3C96"/>
    <w:lvl w:ilvl="0" w:tplc="CB62E63A">
      <w:start w:val="1"/>
      <w:numFmt w:val="bullet"/>
      <w:lvlText w:val="o"/>
      <w:lvlJc w:val="left"/>
      <w:pPr>
        <w:tabs>
          <w:tab w:val="num" w:pos="720"/>
        </w:tabs>
        <w:ind w:left="720" w:hanging="360"/>
      </w:pPr>
      <w:rPr>
        <w:rFonts w:ascii="Courier New" w:hAnsi="Courier New" w:hint="default"/>
      </w:rPr>
    </w:lvl>
    <w:lvl w:ilvl="1" w:tplc="D33AD6FE">
      <w:start w:val="1"/>
      <w:numFmt w:val="bullet"/>
      <w:lvlText w:val="o"/>
      <w:lvlJc w:val="left"/>
      <w:pPr>
        <w:tabs>
          <w:tab w:val="num" w:pos="1440"/>
        </w:tabs>
        <w:ind w:left="1440" w:hanging="360"/>
      </w:pPr>
      <w:rPr>
        <w:rFonts w:ascii="Courier New" w:hAnsi="Courier New" w:hint="default"/>
      </w:rPr>
    </w:lvl>
    <w:lvl w:ilvl="2" w:tplc="61C4F964" w:tentative="1">
      <w:start w:val="1"/>
      <w:numFmt w:val="bullet"/>
      <w:lvlText w:val="o"/>
      <w:lvlJc w:val="left"/>
      <w:pPr>
        <w:tabs>
          <w:tab w:val="num" w:pos="2160"/>
        </w:tabs>
        <w:ind w:left="2160" w:hanging="360"/>
      </w:pPr>
      <w:rPr>
        <w:rFonts w:ascii="Courier New" w:hAnsi="Courier New" w:hint="default"/>
      </w:rPr>
    </w:lvl>
    <w:lvl w:ilvl="3" w:tplc="325EB622" w:tentative="1">
      <w:start w:val="1"/>
      <w:numFmt w:val="bullet"/>
      <w:lvlText w:val="o"/>
      <w:lvlJc w:val="left"/>
      <w:pPr>
        <w:tabs>
          <w:tab w:val="num" w:pos="2880"/>
        </w:tabs>
        <w:ind w:left="2880" w:hanging="360"/>
      </w:pPr>
      <w:rPr>
        <w:rFonts w:ascii="Courier New" w:hAnsi="Courier New" w:hint="default"/>
      </w:rPr>
    </w:lvl>
    <w:lvl w:ilvl="4" w:tplc="C88E7854" w:tentative="1">
      <w:start w:val="1"/>
      <w:numFmt w:val="bullet"/>
      <w:lvlText w:val="o"/>
      <w:lvlJc w:val="left"/>
      <w:pPr>
        <w:tabs>
          <w:tab w:val="num" w:pos="3600"/>
        </w:tabs>
        <w:ind w:left="3600" w:hanging="360"/>
      </w:pPr>
      <w:rPr>
        <w:rFonts w:ascii="Courier New" w:hAnsi="Courier New" w:hint="default"/>
      </w:rPr>
    </w:lvl>
    <w:lvl w:ilvl="5" w:tplc="942E159E" w:tentative="1">
      <w:start w:val="1"/>
      <w:numFmt w:val="bullet"/>
      <w:lvlText w:val="o"/>
      <w:lvlJc w:val="left"/>
      <w:pPr>
        <w:tabs>
          <w:tab w:val="num" w:pos="4320"/>
        </w:tabs>
        <w:ind w:left="4320" w:hanging="360"/>
      </w:pPr>
      <w:rPr>
        <w:rFonts w:ascii="Courier New" w:hAnsi="Courier New" w:hint="default"/>
      </w:rPr>
    </w:lvl>
    <w:lvl w:ilvl="6" w:tplc="C930EFC0" w:tentative="1">
      <w:start w:val="1"/>
      <w:numFmt w:val="bullet"/>
      <w:lvlText w:val="o"/>
      <w:lvlJc w:val="left"/>
      <w:pPr>
        <w:tabs>
          <w:tab w:val="num" w:pos="5040"/>
        </w:tabs>
        <w:ind w:left="5040" w:hanging="360"/>
      </w:pPr>
      <w:rPr>
        <w:rFonts w:ascii="Courier New" w:hAnsi="Courier New" w:hint="default"/>
      </w:rPr>
    </w:lvl>
    <w:lvl w:ilvl="7" w:tplc="5BA653C2" w:tentative="1">
      <w:start w:val="1"/>
      <w:numFmt w:val="bullet"/>
      <w:lvlText w:val="o"/>
      <w:lvlJc w:val="left"/>
      <w:pPr>
        <w:tabs>
          <w:tab w:val="num" w:pos="5760"/>
        </w:tabs>
        <w:ind w:left="5760" w:hanging="360"/>
      </w:pPr>
      <w:rPr>
        <w:rFonts w:ascii="Courier New" w:hAnsi="Courier New" w:hint="default"/>
      </w:rPr>
    </w:lvl>
    <w:lvl w:ilvl="8" w:tplc="9A58BD60"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22B63C5"/>
    <w:multiLevelType w:val="hybridMultilevel"/>
    <w:tmpl w:val="EB14EBAA"/>
    <w:lvl w:ilvl="0" w:tplc="88328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8B3C13"/>
    <w:multiLevelType w:val="hybridMultilevel"/>
    <w:tmpl w:val="BB925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137A44"/>
    <w:multiLevelType w:val="hybridMultilevel"/>
    <w:tmpl w:val="C238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280797"/>
    <w:multiLevelType w:val="hybridMultilevel"/>
    <w:tmpl w:val="BEB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324E4"/>
    <w:multiLevelType w:val="hybridMultilevel"/>
    <w:tmpl w:val="7DACC27E"/>
    <w:lvl w:ilvl="0" w:tplc="73E69B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4"/>
  </w:num>
  <w:num w:numId="4">
    <w:abstractNumId w:val="29"/>
  </w:num>
  <w:num w:numId="5">
    <w:abstractNumId w:val="3"/>
  </w:num>
  <w:num w:numId="6">
    <w:abstractNumId w:val="27"/>
  </w:num>
  <w:num w:numId="7">
    <w:abstractNumId w:val="32"/>
  </w:num>
  <w:num w:numId="8">
    <w:abstractNumId w:val="22"/>
  </w:num>
  <w:num w:numId="9">
    <w:abstractNumId w:val="13"/>
  </w:num>
  <w:num w:numId="10">
    <w:abstractNumId w:val="19"/>
  </w:num>
  <w:num w:numId="11">
    <w:abstractNumId w:val="24"/>
  </w:num>
  <w:num w:numId="12">
    <w:abstractNumId w:val="30"/>
  </w:num>
  <w:num w:numId="13">
    <w:abstractNumId w:val="17"/>
  </w:num>
  <w:num w:numId="14">
    <w:abstractNumId w:val="18"/>
  </w:num>
  <w:num w:numId="15">
    <w:abstractNumId w:val="33"/>
  </w:num>
  <w:num w:numId="16">
    <w:abstractNumId w:val="9"/>
  </w:num>
  <w:num w:numId="17">
    <w:abstractNumId w:val="10"/>
  </w:num>
  <w:num w:numId="18">
    <w:abstractNumId w:val="7"/>
  </w:num>
  <w:num w:numId="19">
    <w:abstractNumId w:val="26"/>
  </w:num>
  <w:num w:numId="20">
    <w:abstractNumId w:val="1"/>
  </w:num>
  <w:num w:numId="21">
    <w:abstractNumId w:val="15"/>
  </w:num>
  <w:num w:numId="22">
    <w:abstractNumId w:val="8"/>
  </w:num>
  <w:num w:numId="23">
    <w:abstractNumId w:val="14"/>
  </w:num>
  <w:num w:numId="24">
    <w:abstractNumId w:val="6"/>
  </w:num>
  <w:num w:numId="25">
    <w:abstractNumId w:val="5"/>
  </w:num>
  <w:num w:numId="26">
    <w:abstractNumId w:val="25"/>
  </w:num>
  <w:num w:numId="27">
    <w:abstractNumId w:val="11"/>
  </w:num>
  <w:num w:numId="28">
    <w:abstractNumId w:val="35"/>
  </w:num>
  <w:num w:numId="29">
    <w:abstractNumId w:val="20"/>
  </w:num>
  <w:num w:numId="30">
    <w:abstractNumId w:val="0"/>
  </w:num>
  <w:num w:numId="31">
    <w:abstractNumId w:val="16"/>
  </w:num>
  <w:num w:numId="32">
    <w:abstractNumId w:val="36"/>
  </w:num>
  <w:num w:numId="33">
    <w:abstractNumId w:val="21"/>
  </w:num>
  <w:num w:numId="34">
    <w:abstractNumId w:val="28"/>
  </w:num>
  <w:num w:numId="35">
    <w:abstractNumId w:val="4"/>
  </w:num>
  <w:num w:numId="36">
    <w:abstractNumId w:val="2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13373"/>
    <w:rsid w:val="00027B1C"/>
    <w:rsid w:val="00031297"/>
    <w:rsid w:val="00083FAF"/>
    <w:rsid w:val="00085D51"/>
    <w:rsid w:val="000A1330"/>
    <w:rsid w:val="000A5C2D"/>
    <w:rsid w:val="000A5CB3"/>
    <w:rsid w:val="000B5CE7"/>
    <w:rsid w:val="000C65EA"/>
    <w:rsid w:val="000E58D2"/>
    <w:rsid w:val="000F3932"/>
    <w:rsid w:val="000F762A"/>
    <w:rsid w:val="001158F3"/>
    <w:rsid w:val="001457EB"/>
    <w:rsid w:val="00173819"/>
    <w:rsid w:val="0019136A"/>
    <w:rsid w:val="00191E51"/>
    <w:rsid w:val="001A28B0"/>
    <w:rsid w:val="001B69D9"/>
    <w:rsid w:val="001E37D3"/>
    <w:rsid w:val="001E7FC6"/>
    <w:rsid w:val="001F0649"/>
    <w:rsid w:val="00210B63"/>
    <w:rsid w:val="00224D06"/>
    <w:rsid w:val="00245354"/>
    <w:rsid w:val="00250629"/>
    <w:rsid w:val="002835F5"/>
    <w:rsid w:val="0029627E"/>
    <w:rsid w:val="002A0C72"/>
    <w:rsid w:val="002F74DC"/>
    <w:rsid w:val="00307A4D"/>
    <w:rsid w:val="00313F5C"/>
    <w:rsid w:val="00315585"/>
    <w:rsid w:val="00315BFB"/>
    <w:rsid w:val="0032330E"/>
    <w:rsid w:val="0033468C"/>
    <w:rsid w:val="00341A2A"/>
    <w:rsid w:val="0034210F"/>
    <w:rsid w:val="00343142"/>
    <w:rsid w:val="00351176"/>
    <w:rsid w:val="003750BF"/>
    <w:rsid w:val="00376D9B"/>
    <w:rsid w:val="00396FDE"/>
    <w:rsid w:val="00397826"/>
    <w:rsid w:val="003A3650"/>
    <w:rsid w:val="003A3C1E"/>
    <w:rsid w:val="003D6380"/>
    <w:rsid w:val="003F6E52"/>
    <w:rsid w:val="00415106"/>
    <w:rsid w:val="00415E6E"/>
    <w:rsid w:val="00417FA2"/>
    <w:rsid w:val="0045099F"/>
    <w:rsid w:val="00450A1B"/>
    <w:rsid w:val="00471D1C"/>
    <w:rsid w:val="00491B83"/>
    <w:rsid w:val="004C5890"/>
    <w:rsid w:val="004E14EE"/>
    <w:rsid w:val="00535B05"/>
    <w:rsid w:val="0054461B"/>
    <w:rsid w:val="0055046B"/>
    <w:rsid w:val="00574C0A"/>
    <w:rsid w:val="005829F2"/>
    <w:rsid w:val="005B4B86"/>
    <w:rsid w:val="005C3DC0"/>
    <w:rsid w:val="005C7713"/>
    <w:rsid w:val="005F0005"/>
    <w:rsid w:val="006060B6"/>
    <w:rsid w:val="006544BF"/>
    <w:rsid w:val="0068292C"/>
    <w:rsid w:val="00694C0C"/>
    <w:rsid w:val="006A1320"/>
    <w:rsid w:val="006C11C6"/>
    <w:rsid w:val="006D1D1D"/>
    <w:rsid w:val="006E5BBB"/>
    <w:rsid w:val="006E68C3"/>
    <w:rsid w:val="00720CB6"/>
    <w:rsid w:val="00736696"/>
    <w:rsid w:val="0075491C"/>
    <w:rsid w:val="007643AD"/>
    <w:rsid w:val="0078158B"/>
    <w:rsid w:val="00790837"/>
    <w:rsid w:val="007B66EE"/>
    <w:rsid w:val="007C0B34"/>
    <w:rsid w:val="007D400B"/>
    <w:rsid w:val="007F48CE"/>
    <w:rsid w:val="00811048"/>
    <w:rsid w:val="008335FE"/>
    <w:rsid w:val="0083792C"/>
    <w:rsid w:val="00856934"/>
    <w:rsid w:val="008758DB"/>
    <w:rsid w:val="00884B3C"/>
    <w:rsid w:val="008A0C25"/>
    <w:rsid w:val="008C316A"/>
    <w:rsid w:val="008D34E5"/>
    <w:rsid w:val="008F492E"/>
    <w:rsid w:val="009115C0"/>
    <w:rsid w:val="00916065"/>
    <w:rsid w:val="00916A57"/>
    <w:rsid w:val="00917F0C"/>
    <w:rsid w:val="009253A0"/>
    <w:rsid w:val="00971EFF"/>
    <w:rsid w:val="009A08E7"/>
    <w:rsid w:val="009F475F"/>
    <w:rsid w:val="009F5D8F"/>
    <w:rsid w:val="00A10706"/>
    <w:rsid w:val="00A259D0"/>
    <w:rsid w:val="00A37B5D"/>
    <w:rsid w:val="00A90586"/>
    <w:rsid w:val="00AA0EA8"/>
    <w:rsid w:val="00AB173D"/>
    <w:rsid w:val="00AB191D"/>
    <w:rsid w:val="00AB7CDF"/>
    <w:rsid w:val="00AC4CBD"/>
    <w:rsid w:val="00AD764D"/>
    <w:rsid w:val="00AF0FEA"/>
    <w:rsid w:val="00B073F3"/>
    <w:rsid w:val="00B4004C"/>
    <w:rsid w:val="00B438F3"/>
    <w:rsid w:val="00B54D7F"/>
    <w:rsid w:val="00B60E2E"/>
    <w:rsid w:val="00B759CF"/>
    <w:rsid w:val="00B9094F"/>
    <w:rsid w:val="00BB58AA"/>
    <w:rsid w:val="00BD21DF"/>
    <w:rsid w:val="00BF29DA"/>
    <w:rsid w:val="00C2063F"/>
    <w:rsid w:val="00C31215"/>
    <w:rsid w:val="00C31BF7"/>
    <w:rsid w:val="00C361C2"/>
    <w:rsid w:val="00C41367"/>
    <w:rsid w:val="00C4207E"/>
    <w:rsid w:val="00C71F66"/>
    <w:rsid w:val="00C95D5C"/>
    <w:rsid w:val="00C95FD1"/>
    <w:rsid w:val="00CA6823"/>
    <w:rsid w:val="00CF7871"/>
    <w:rsid w:val="00CF7AA0"/>
    <w:rsid w:val="00D039B1"/>
    <w:rsid w:val="00D61DE5"/>
    <w:rsid w:val="00D626CF"/>
    <w:rsid w:val="00D742BC"/>
    <w:rsid w:val="00DA016F"/>
    <w:rsid w:val="00DA3181"/>
    <w:rsid w:val="00DB44D4"/>
    <w:rsid w:val="00DC5B82"/>
    <w:rsid w:val="00DF4DD3"/>
    <w:rsid w:val="00E17A3E"/>
    <w:rsid w:val="00E336AD"/>
    <w:rsid w:val="00E371B0"/>
    <w:rsid w:val="00E45539"/>
    <w:rsid w:val="00E62DC8"/>
    <w:rsid w:val="00E661D9"/>
    <w:rsid w:val="00E82E18"/>
    <w:rsid w:val="00E91EDD"/>
    <w:rsid w:val="00E95BE8"/>
    <w:rsid w:val="00EA64DA"/>
    <w:rsid w:val="00EE4E3D"/>
    <w:rsid w:val="00F0218C"/>
    <w:rsid w:val="00F14B0B"/>
    <w:rsid w:val="00F25D40"/>
    <w:rsid w:val="00F45AC4"/>
    <w:rsid w:val="00F506FB"/>
    <w:rsid w:val="00F51229"/>
    <w:rsid w:val="00F94254"/>
    <w:rsid w:val="00F9567E"/>
    <w:rsid w:val="00FE1B64"/>
    <w:rsid w:val="00FE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45929"/>
  <w15:docId w15:val="{C23FF5FA-EF61-4492-B1C5-91B0BB7E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B0"/>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 w:type="paragraph" w:styleId="NormalWeb">
    <w:name w:val="Normal (Web)"/>
    <w:basedOn w:val="Normal"/>
    <w:uiPriority w:val="99"/>
    <w:unhideWhenUsed/>
    <w:rsid w:val="00736696"/>
    <w:pPr>
      <w:spacing w:before="100" w:beforeAutospacing="1" w:after="100" w:afterAutospacing="1"/>
    </w:pPr>
    <w:rPr>
      <w:rFonts w:ascii="Times New Roman" w:eastAsia="Times New Roman" w:hAnsi="Times New Roman"/>
      <w:color w:val="auto"/>
      <w:sz w:val="24"/>
      <w:szCs w:val="24"/>
      <w:lang w:eastAsia="en-US"/>
    </w:rPr>
  </w:style>
  <w:style w:type="table" w:customStyle="1" w:styleId="TableGrid1">
    <w:name w:val="Table Grid1"/>
    <w:basedOn w:val="TableNormal"/>
    <w:next w:val="TableGrid"/>
    <w:uiPriority w:val="39"/>
    <w:rsid w:val="005F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0005"/>
    <w:rPr>
      <w:rFonts w:ascii="Times New Roman" w:eastAsiaTheme="minorHAnsi" w:hAnsi="Times New Roman"/>
      <w:color w:val="auto"/>
      <w:sz w:val="20"/>
      <w:szCs w:val="20"/>
      <w:lang w:eastAsia="en-US"/>
    </w:rPr>
  </w:style>
  <w:style w:type="character" w:customStyle="1" w:styleId="FootnoteTextChar">
    <w:name w:val="Footnote Text Char"/>
    <w:basedOn w:val="DefaultParagraphFont"/>
    <w:link w:val="FootnoteText"/>
    <w:uiPriority w:val="99"/>
    <w:semiHidden/>
    <w:rsid w:val="005F00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F0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867246">
      <w:bodyDiv w:val="1"/>
      <w:marLeft w:val="0"/>
      <w:marRight w:val="0"/>
      <w:marTop w:val="0"/>
      <w:marBottom w:val="0"/>
      <w:divBdr>
        <w:top w:val="none" w:sz="0" w:space="0" w:color="auto"/>
        <w:left w:val="none" w:sz="0" w:space="0" w:color="auto"/>
        <w:bottom w:val="none" w:sz="0" w:space="0" w:color="auto"/>
        <w:right w:val="none" w:sz="0" w:space="0" w:color="auto"/>
      </w:divBdr>
      <w:divsChild>
        <w:div w:id="8803209">
          <w:marLeft w:val="0"/>
          <w:marRight w:val="0"/>
          <w:marTop w:val="0"/>
          <w:marBottom w:val="0"/>
          <w:divBdr>
            <w:top w:val="none" w:sz="0" w:space="0" w:color="auto"/>
            <w:left w:val="none" w:sz="0" w:space="0" w:color="auto"/>
            <w:bottom w:val="none" w:sz="0" w:space="0" w:color="auto"/>
            <w:right w:val="none" w:sz="0" w:space="0" w:color="auto"/>
          </w:divBdr>
          <w:divsChild>
            <w:div w:id="1471746019">
              <w:marLeft w:val="0"/>
              <w:marRight w:val="0"/>
              <w:marTop w:val="0"/>
              <w:marBottom w:val="0"/>
              <w:divBdr>
                <w:top w:val="none" w:sz="0" w:space="0" w:color="auto"/>
                <w:left w:val="none" w:sz="0" w:space="0" w:color="auto"/>
                <w:bottom w:val="none" w:sz="0" w:space="0" w:color="auto"/>
                <w:right w:val="none" w:sz="0" w:space="0" w:color="auto"/>
              </w:divBdr>
              <w:divsChild>
                <w:div w:id="5234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4943">
      <w:bodyDiv w:val="1"/>
      <w:marLeft w:val="0"/>
      <w:marRight w:val="0"/>
      <w:marTop w:val="0"/>
      <w:marBottom w:val="0"/>
      <w:divBdr>
        <w:top w:val="none" w:sz="0" w:space="0" w:color="auto"/>
        <w:left w:val="none" w:sz="0" w:space="0" w:color="auto"/>
        <w:bottom w:val="none" w:sz="0" w:space="0" w:color="auto"/>
        <w:right w:val="none" w:sz="0" w:space="0" w:color="auto"/>
      </w:divBdr>
      <w:divsChild>
        <w:div w:id="1602178095">
          <w:marLeft w:val="1166"/>
          <w:marRight w:val="0"/>
          <w:marTop w:val="0"/>
          <w:marBottom w:val="0"/>
          <w:divBdr>
            <w:top w:val="none" w:sz="0" w:space="0" w:color="auto"/>
            <w:left w:val="none" w:sz="0" w:space="0" w:color="auto"/>
            <w:bottom w:val="none" w:sz="0" w:space="0" w:color="auto"/>
            <w:right w:val="none" w:sz="0" w:space="0" w:color="auto"/>
          </w:divBdr>
        </w:div>
        <w:div w:id="1364404281">
          <w:marLeft w:val="1166"/>
          <w:marRight w:val="0"/>
          <w:marTop w:val="0"/>
          <w:marBottom w:val="0"/>
          <w:divBdr>
            <w:top w:val="none" w:sz="0" w:space="0" w:color="auto"/>
            <w:left w:val="none" w:sz="0" w:space="0" w:color="auto"/>
            <w:bottom w:val="none" w:sz="0" w:space="0" w:color="auto"/>
            <w:right w:val="none" w:sz="0" w:space="0" w:color="auto"/>
          </w:divBdr>
        </w:div>
        <w:div w:id="695078254">
          <w:marLeft w:val="1166"/>
          <w:marRight w:val="0"/>
          <w:marTop w:val="0"/>
          <w:marBottom w:val="0"/>
          <w:divBdr>
            <w:top w:val="none" w:sz="0" w:space="0" w:color="auto"/>
            <w:left w:val="none" w:sz="0" w:space="0" w:color="auto"/>
            <w:bottom w:val="none" w:sz="0" w:space="0" w:color="auto"/>
            <w:right w:val="none" w:sz="0" w:space="0" w:color="auto"/>
          </w:divBdr>
        </w:div>
        <w:div w:id="1018847094">
          <w:marLeft w:val="1166"/>
          <w:marRight w:val="0"/>
          <w:marTop w:val="0"/>
          <w:marBottom w:val="0"/>
          <w:divBdr>
            <w:top w:val="none" w:sz="0" w:space="0" w:color="auto"/>
            <w:left w:val="none" w:sz="0" w:space="0" w:color="auto"/>
            <w:bottom w:val="none" w:sz="0" w:space="0" w:color="auto"/>
            <w:right w:val="none" w:sz="0" w:space="0" w:color="auto"/>
          </w:divBdr>
        </w:div>
        <w:div w:id="51958762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rawm\Desktop\aafte_projecte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2</a:t>
            </a:r>
            <a:br>
              <a:rPr lang="en-US" sz="1400" b="0" i="0" baseline="0">
                <a:effectLst/>
              </a:rPr>
            </a:br>
            <a:r>
              <a:rPr lang="en-US" sz="1400" b="0" i="0" baseline="0">
                <a:effectLst/>
              </a:rPr>
              <a:t>Predicted Annual Headcount at 10% and 50% Part-Time</a:t>
            </a:r>
            <a:br>
              <a:rPr lang="en-US" sz="1400" b="0" i="0" baseline="0">
                <a:effectLst/>
              </a:rPr>
            </a:br>
            <a:r>
              <a:rPr lang="en-US" sz="1400" b="0" i="0" baseline="0">
                <a:effectLst/>
              </a:rPr>
              <a:t>(90% Attrition per Year; 75 students admitted per year)</a:t>
            </a:r>
            <a:endParaRPr lang="en-US" sz="1400">
              <a:effectLst/>
            </a:endParaRPr>
          </a:p>
        </c:rich>
      </c:tx>
      <c:overlay val="0"/>
      <c:spPr>
        <a:noFill/>
        <a:ln>
          <a:noFill/>
        </a:ln>
        <a:effectLst/>
      </c:spPr>
    </c:title>
    <c:autoTitleDeleted val="0"/>
    <c:plotArea>
      <c:layout/>
      <c:lineChart>
        <c:grouping val="standard"/>
        <c:varyColors val="0"/>
        <c:ser>
          <c:idx val="0"/>
          <c:order val="0"/>
          <c:tx>
            <c:strRef>
              <c:f>Sheet2!$H$1</c:f>
              <c:strCache>
                <c:ptCount val="1"/>
                <c:pt idx="0">
                  <c:v>Headcount --- 50% Part-Time</c:v>
                </c:pt>
              </c:strCache>
            </c:strRef>
          </c:tx>
          <c:spPr>
            <a:ln w="28575" cap="rnd">
              <a:solidFill>
                <a:schemeClr val="accent1"/>
              </a:solidFill>
              <a:round/>
            </a:ln>
            <a:effectLst/>
          </c:spPr>
          <c:marker>
            <c:symbol val="none"/>
          </c:marker>
          <c:cat>
            <c:numRef>
              <c:f>Sheet2!$F$2:$F$13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Sheet2!$H$2:$H$13</c:f>
              <c:numCache>
                <c:formatCode>General</c:formatCode>
                <c:ptCount val="12"/>
                <c:pt idx="0">
                  <c:v>150</c:v>
                </c:pt>
                <c:pt idx="1">
                  <c:v>142.5</c:v>
                </c:pt>
                <c:pt idx="2">
                  <c:v>172.875</c:v>
                </c:pt>
                <c:pt idx="3">
                  <c:v>172.875</c:v>
                </c:pt>
                <c:pt idx="4">
                  <c:v>172.875</c:v>
                </c:pt>
                <c:pt idx="5">
                  <c:v>172.875</c:v>
                </c:pt>
                <c:pt idx="6">
                  <c:v>172.875</c:v>
                </c:pt>
                <c:pt idx="7">
                  <c:v>172.875</c:v>
                </c:pt>
                <c:pt idx="8">
                  <c:v>172.875</c:v>
                </c:pt>
                <c:pt idx="9">
                  <c:v>172.875</c:v>
                </c:pt>
                <c:pt idx="10">
                  <c:v>172.875</c:v>
                </c:pt>
                <c:pt idx="11">
                  <c:v>172.875</c:v>
                </c:pt>
              </c:numCache>
            </c:numRef>
          </c:val>
          <c:smooth val="0"/>
          <c:extLst>
            <c:ext xmlns:c16="http://schemas.microsoft.com/office/drawing/2014/chart" uri="{C3380CC4-5D6E-409C-BE32-E72D297353CC}">
              <c16:uniqueId val="{00000000-8AB9-4E48-9A36-7381BFCB62BA}"/>
            </c:ext>
          </c:extLst>
        </c:ser>
        <c:ser>
          <c:idx val="1"/>
          <c:order val="1"/>
          <c:tx>
            <c:strRef>
              <c:f>Sheet1!$H$1</c:f>
              <c:strCache>
                <c:ptCount val="1"/>
                <c:pt idx="0">
                  <c:v>Headcount --- 10% Part Time</c:v>
                </c:pt>
              </c:strCache>
            </c:strRef>
          </c:tx>
          <c:spPr>
            <a:ln w="28575" cap="rnd">
              <a:solidFill>
                <a:schemeClr val="accent2"/>
              </a:solidFill>
              <a:round/>
            </a:ln>
            <a:effectLst/>
          </c:spPr>
          <c:marker>
            <c:symbol val="none"/>
          </c:marker>
          <c:cat>
            <c:numRef>
              <c:f>Sheet2!$F$2:$F$13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Sheet1!$H$2:$H$13</c:f>
              <c:numCache>
                <c:formatCode>General</c:formatCode>
                <c:ptCount val="12"/>
                <c:pt idx="0">
                  <c:v>150</c:v>
                </c:pt>
                <c:pt idx="1">
                  <c:v>142.5</c:v>
                </c:pt>
                <c:pt idx="2">
                  <c:v>148.57499999999999</c:v>
                </c:pt>
                <c:pt idx="3">
                  <c:v>148.57499999999999</c:v>
                </c:pt>
                <c:pt idx="4">
                  <c:v>148.57499999999999</c:v>
                </c:pt>
                <c:pt idx="5">
                  <c:v>148.57499999999999</c:v>
                </c:pt>
                <c:pt idx="6">
                  <c:v>148.57499999999999</c:v>
                </c:pt>
                <c:pt idx="7">
                  <c:v>148.57499999999999</c:v>
                </c:pt>
                <c:pt idx="8">
                  <c:v>148.57499999999999</c:v>
                </c:pt>
                <c:pt idx="9">
                  <c:v>148.57499999999999</c:v>
                </c:pt>
                <c:pt idx="10">
                  <c:v>148.57499999999999</c:v>
                </c:pt>
                <c:pt idx="11">
                  <c:v>148.57499999999999</c:v>
                </c:pt>
              </c:numCache>
            </c:numRef>
          </c:val>
          <c:smooth val="0"/>
          <c:extLst>
            <c:ext xmlns:c16="http://schemas.microsoft.com/office/drawing/2014/chart" uri="{C3380CC4-5D6E-409C-BE32-E72D297353CC}">
              <c16:uniqueId val="{00000001-8AB9-4E48-9A36-7381BFCB62BA}"/>
            </c:ext>
          </c:extLst>
        </c:ser>
        <c:dLbls>
          <c:showLegendKey val="0"/>
          <c:showVal val="0"/>
          <c:showCatName val="0"/>
          <c:showSerName val="0"/>
          <c:showPercent val="0"/>
          <c:showBubbleSize val="0"/>
        </c:dLbls>
        <c:smooth val="0"/>
        <c:axId val="120148352"/>
        <c:axId val="120150272"/>
      </c:lineChart>
      <c:catAx>
        <c:axId val="120148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Post-Implementation 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50272"/>
        <c:crosses val="autoZero"/>
        <c:auto val="1"/>
        <c:lblAlgn val="ctr"/>
        <c:lblOffset val="100"/>
        <c:noMultiLvlLbl val="0"/>
      </c:catAx>
      <c:valAx>
        <c:axId val="12015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Annual Headcount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48352"/>
        <c:crosses val="autoZero"/>
        <c:crossBetween val="between"/>
      </c:valAx>
      <c:spPr>
        <a:noFill/>
        <a:ln>
          <a:noFill/>
        </a:ln>
        <a:effectLst/>
      </c:spPr>
    </c:plotArea>
    <c:legend>
      <c:legendPos val="r"/>
      <c:layout>
        <c:manualLayout>
          <c:xMode val="edge"/>
          <c:yMode val="edge"/>
          <c:x val="0.76698025368412248"/>
          <c:y val="0.50227190537576138"/>
          <c:w val="0.1993263865723022"/>
          <c:h val="0.1477051228075058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TotalTime>
  <Pages>18</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Craw, Michael</cp:lastModifiedBy>
  <cp:revision>3</cp:revision>
  <cp:lastPrinted>2019-11-23T01:13:00Z</cp:lastPrinted>
  <dcterms:created xsi:type="dcterms:W3CDTF">2020-05-26T20:32:00Z</dcterms:created>
  <dcterms:modified xsi:type="dcterms:W3CDTF">2020-05-26T20:43:00Z</dcterms:modified>
</cp:coreProperties>
</file>