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80" w:rsidRPr="00980C3A" w:rsidRDefault="00980C3A">
      <w:pPr>
        <w:rPr>
          <w:b/>
          <w:sz w:val="32"/>
          <w:szCs w:val="32"/>
        </w:rPr>
      </w:pPr>
      <w:r w:rsidRPr="00980C3A">
        <w:rPr>
          <w:b/>
          <w:sz w:val="32"/>
          <w:szCs w:val="32"/>
        </w:rPr>
        <w:t>Possible web content</w:t>
      </w:r>
    </w:p>
    <w:p w:rsidR="00980C3A" w:rsidRDefault="00980C3A"/>
    <w:p w:rsidR="00980C3A" w:rsidRDefault="00980C3A">
      <w:proofErr w:type="gramStart"/>
      <w:r>
        <w:t>Home page (and elsewhere?)</w:t>
      </w:r>
      <w:proofErr w:type="gramEnd"/>
      <w:r>
        <w:t xml:space="preserve"> Cohort in box vs concentrations in text – need consistent/explanatory language </w:t>
      </w:r>
    </w:p>
    <w:p w:rsidR="00980C3A" w:rsidRDefault="00980C3A" w:rsidP="00980C3A">
      <w:r>
        <w:t>Electives/flexibility -- from July 2014 PS email</w:t>
      </w:r>
    </w:p>
    <w:p w:rsidR="00980C3A" w:rsidRDefault="00980C3A" w:rsidP="00980C3A">
      <w:pPr>
        <w:numPr>
          <w:ilvl w:val="0"/>
          <w:numId w:val="1"/>
        </w:numPr>
        <w:autoSpaceDE w:val="0"/>
        <w:autoSpaceDN w:val="0"/>
        <w:spacing w:after="0" w:line="240" w:lineRule="auto"/>
        <w:rPr>
          <w:rFonts w:ascii="Arial" w:hAnsi="Arial" w:cs="Arial"/>
        </w:rPr>
      </w:pPr>
      <w:r>
        <w:rPr>
          <w:rFonts w:ascii="Arial" w:hAnsi="Arial" w:cs="Arial"/>
          <w:b/>
          <w:bCs/>
        </w:rPr>
        <w:t>Flexible degree requirements – use your electives to design the degree you want</w:t>
      </w:r>
      <w:r>
        <w:rPr>
          <w:rFonts w:ascii="Arial" w:hAnsi="Arial" w:cs="Arial"/>
        </w:rPr>
        <w:t xml:space="preserve">! Of the 60 credits needed to complete the degree, all concentrations require 36 credits: 30 credits of Core coursework + 6 Capstone course credits. The difference between the concentrations is what you get to do with the remaining 24 credits. Our Public/Non-Profit Administration concentration offers the most flexibility: all 24 credits are elective credits and can be used to take MPA electives, Master of Environmental Studies (MES) electives, individual study contracts (up to 12 credits) or internship contracts (up to 4 of the 12 individual study contract credits). Our Public Policy concentration requires 2 four credit courses -- Foundations of Public Policy and Advanced Research Methods -- and then allows 16 elective credits. No matter which concentration you choose, you can take electives in all of our concentrations -- public policy, public/non-profit administration and tribal governance courses as well as more general courses applicable to all concentrations. </w:t>
      </w:r>
    </w:p>
    <w:p w:rsidR="00D7324E" w:rsidRDefault="00D7324E" w:rsidP="00D7324E">
      <w:pPr>
        <w:autoSpaceDE w:val="0"/>
        <w:autoSpaceDN w:val="0"/>
        <w:spacing w:after="0" w:line="240" w:lineRule="auto"/>
        <w:rPr>
          <w:rFonts w:ascii="Arial" w:hAnsi="Arial" w:cs="Arial"/>
        </w:rPr>
      </w:pPr>
    </w:p>
    <w:p w:rsidR="00D7324E" w:rsidRDefault="00D7324E" w:rsidP="00D7324E">
      <w:pPr>
        <w:autoSpaceDE w:val="0"/>
        <w:autoSpaceDN w:val="0"/>
        <w:spacing w:after="0" w:line="240" w:lineRule="auto"/>
        <w:rPr>
          <w:rFonts w:ascii="Arial" w:hAnsi="Arial" w:cs="Arial"/>
        </w:rPr>
      </w:pPr>
      <w:r>
        <w:rPr>
          <w:rFonts w:ascii="Arial" w:hAnsi="Arial" w:cs="Arial"/>
        </w:rPr>
        <w:t>Re: electives/flexibility -- More info about internships and contracts</w:t>
      </w:r>
    </w:p>
    <w:p w:rsidR="00D7324E" w:rsidRDefault="00D7324E" w:rsidP="00D7324E">
      <w:pPr>
        <w:autoSpaceDE w:val="0"/>
        <w:autoSpaceDN w:val="0"/>
        <w:spacing w:after="0" w:line="240" w:lineRule="auto"/>
        <w:rPr>
          <w:rFonts w:ascii="Arial" w:hAnsi="Arial" w:cs="Arial"/>
        </w:rPr>
      </w:pPr>
    </w:p>
    <w:p w:rsidR="00D7324E" w:rsidRDefault="00D7324E" w:rsidP="00D7324E">
      <w:pPr>
        <w:numPr>
          <w:ilvl w:val="0"/>
          <w:numId w:val="2"/>
        </w:numPr>
        <w:autoSpaceDE w:val="0"/>
        <w:autoSpaceDN w:val="0"/>
        <w:spacing w:after="0" w:line="240" w:lineRule="auto"/>
        <w:rPr>
          <w:rFonts w:ascii="Arial" w:hAnsi="Arial" w:cs="Arial"/>
        </w:rPr>
      </w:pPr>
      <w:r>
        <w:rPr>
          <w:rFonts w:ascii="Arial" w:hAnsi="Arial" w:cs="Arial"/>
          <w:b/>
          <w:bCs/>
        </w:rPr>
        <w:t>Flexible degree requirements allow you to customize your MPA degree</w:t>
      </w:r>
      <w:r>
        <w:rPr>
          <w:rFonts w:ascii="Arial" w:hAnsi="Arial" w:cs="Arial"/>
        </w:rPr>
        <w:t xml:space="preserve">! Our program offers students a lot of flexibility and opportunity to gear their degree toward their field(s) of interest, including taking up to 24 elective credits in multiple interest areas; up to </w:t>
      </w:r>
      <w:r>
        <w:rPr>
          <w:rFonts w:ascii="Arial" w:hAnsi="Arial" w:cs="Arial"/>
          <w:b/>
          <w:bCs/>
        </w:rPr>
        <w:t>12 credits can be taken as independent study</w:t>
      </w:r>
      <w:r>
        <w:rPr>
          <w:rFonts w:ascii="Arial" w:hAnsi="Arial" w:cs="Arial"/>
        </w:rPr>
        <w:t>!</w:t>
      </w:r>
    </w:p>
    <w:p w:rsidR="00D7324E" w:rsidRDefault="00D7324E"/>
    <w:p w:rsidR="00980C3A" w:rsidRDefault="00980C3A">
      <w:r>
        <w:t>Info session page includes other info, such as visit Core and take 12 credits – retitle page? Possibilities: Find out more, connect with MPA,</w:t>
      </w:r>
    </w:p>
    <w:p w:rsidR="00980C3A" w:rsidRDefault="00D7324E">
      <w:r>
        <w:t>Value of a cohort and Diversity/</w:t>
      </w:r>
      <w:proofErr w:type="spellStart"/>
      <w:r>
        <w:t>make up</w:t>
      </w:r>
      <w:proofErr w:type="spellEnd"/>
      <w:r>
        <w:t xml:space="preserve"> of the cohort</w:t>
      </w:r>
    </w:p>
    <w:p w:rsidR="00D7324E" w:rsidRDefault="00D7324E" w:rsidP="00D7324E">
      <w:pPr>
        <w:pStyle w:val="PlainText"/>
        <w:numPr>
          <w:ilvl w:val="1"/>
          <w:numId w:val="2"/>
        </w:numPr>
      </w:pPr>
      <w:r>
        <w:t>Cohort model: students move through Core coursework with their “cohort” of 55-65 students, forming strong friendships and professional relationships</w:t>
      </w:r>
    </w:p>
    <w:p w:rsidR="00D7324E" w:rsidRDefault="00D7324E" w:rsidP="00D7324E">
      <w:pPr>
        <w:pStyle w:val="PlainText"/>
        <w:numPr>
          <w:ilvl w:val="1"/>
          <w:numId w:val="2"/>
        </w:numPr>
      </w:pPr>
      <w:r>
        <w:t>Students learn as much from their fellow students as from their faculty, due to considerable diversity in age (from 20s-60s), work experience (from recent college grads through seasoned managers), cultural/socioeconomic background, interests and career aspirations. Consequently, our students tell us that they’ve learned as much from their fellow students as from their faculty, and have come out of the program with many colleagues and friends that they will have for the rest of their lives.</w:t>
      </w:r>
    </w:p>
    <w:p w:rsidR="00D7324E" w:rsidRDefault="00D7324E" w:rsidP="00D7324E">
      <w:pPr>
        <w:pStyle w:val="PlainText"/>
      </w:pPr>
    </w:p>
    <w:p w:rsidR="00D7324E" w:rsidRDefault="00D7324E" w:rsidP="00D7324E">
      <w:pPr>
        <w:pStyle w:val="PlainText"/>
      </w:pPr>
      <w:r>
        <w:t xml:space="preserve">More about Evergreen – link to 5 foci, social contract, seminar info, </w:t>
      </w:r>
      <w:proofErr w:type="spellStart"/>
      <w:r>
        <w:t>etc</w:t>
      </w:r>
      <w:proofErr w:type="spellEnd"/>
    </w:p>
    <w:p w:rsidR="00D7324E" w:rsidRDefault="00D7324E" w:rsidP="00D7324E">
      <w:pPr>
        <w:pStyle w:val="PlainText"/>
        <w:numPr>
          <w:ilvl w:val="0"/>
          <w:numId w:val="2"/>
        </w:numPr>
      </w:pPr>
      <w:r>
        <w:t xml:space="preserve">At Evergreen you’ll be part of a </w:t>
      </w:r>
      <w:r>
        <w:rPr>
          <w:b/>
          <w:bCs/>
        </w:rPr>
        <w:t>vibrant learning community</w:t>
      </w:r>
      <w:r>
        <w:t xml:space="preserve"> that you create with your faculty and fellow students. </w:t>
      </w:r>
    </w:p>
    <w:p w:rsidR="00D7324E" w:rsidRDefault="00D7324E" w:rsidP="00D7324E">
      <w:pPr>
        <w:pStyle w:val="PlainText"/>
        <w:numPr>
          <w:ilvl w:val="1"/>
          <w:numId w:val="2"/>
        </w:numPr>
      </w:pPr>
      <w:r>
        <w:t>Interdisciplinary faculty teams teach Core courses -- effectively address the complexity of contemporary public problems</w:t>
      </w:r>
    </w:p>
    <w:p w:rsidR="00D7324E" w:rsidRDefault="00D7324E" w:rsidP="00D7324E">
      <w:pPr>
        <w:pStyle w:val="PlainText"/>
        <w:numPr>
          <w:ilvl w:val="1"/>
          <w:numId w:val="2"/>
        </w:numPr>
      </w:pPr>
      <w:r>
        <w:t>Small class size (15 to 20 students per faculty member)</w:t>
      </w:r>
    </w:p>
    <w:p w:rsidR="00D7324E" w:rsidRDefault="00D7324E" w:rsidP="00D7324E">
      <w:pPr>
        <w:pStyle w:val="PlainText"/>
        <w:numPr>
          <w:ilvl w:val="1"/>
          <w:numId w:val="2"/>
        </w:numPr>
      </w:pPr>
      <w:r>
        <w:t>Seminar based learning: students actively participate in and learn to facilitate engaged and thoughtful discussions encompassing diverse views</w:t>
      </w:r>
    </w:p>
    <w:p w:rsidR="00D7324E" w:rsidRDefault="00D7324E" w:rsidP="00D7324E">
      <w:pPr>
        <w:pStyle w:val="PlainText"/>
        <w:numPr>
          <w:ilvl w:val="1"/>
          <w:numId w:val="2"/>
        </w:numPr>
      </w:pPr>
      <w:r>
        <w:t>Credit/no credit courses with narrative evaluations to assess learning</w:t>
      </w:r>
    </w:p>
    <w:p w:rsidR="00DC243A" w:rsidRDefault="00DC243A" w:rsidP="00DC243A">
      <w:pPr>
        <w:pStyle w:val="PlainText"/>
      </w:pPr>
    </w:p>
    <w:p w:rsidR="00DC243A" w:rsidRDefault="00DC243A" w:rsidP="00DC243A">
      <w:pPr>
        <w:pStyle w:val="PlainText"/>
      </w:pPr>
      <w:r>
        <w:t xml:space="preserve">Faculty page – need to add areas of expertise – </w:t>
      </w:r>
      <w:proofErr w:type="spellStart"/>
      <w:proofErr w:type="gramStart"/>
      <w:r>
        <w:t>esp</w:t>
      </w:r>
      <w:proofErr w:type="spellEnd"/>
      <w:proofErr w:type="gramEnd"/>
      <w:r>
        <w:t xml:space="preserve"> Cheryl and Larry</w:t>
      </w:r>
      <w:bookmarkStart w:id="0" w:name="_GoBack"/>
      <w:bookmarkEnd w:id="0"/>
    </w:p>
    <w:p w:rsidR="00D7324E" w:rsidRDefault="00D7324E" w:rsidP="00D7324E">
      <w:pPr>
        <w:pStyle w:val="PlainText"/>
      </w:pPr>
    </w:p>
    <w:p w:rsidR="00D7324E" w:rsidRDefault="00D7324E" w:rsidP="00D7324E">
      <w:pPr>
        <w:pStyle w:val="PlainText"/>
      </w:pPr>
    </w:p>
    <w:p w:rsidR="00D7324E" w:rsidRDefault="00D7324E"/>
    <w:p w:rsidR="00D7324E" w:rsidRDefault="00D7324E"/>
    <w:sectPr w:rsidR="00D7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5D87"/>
    <w:multiLevelType w:val="hybridMultilevel"/>
    <w:tmpl w:val="60C01E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9411F51"/>
    <w:multiLevelType w:val="hybridMultilevel"/>
    <w:tmpl w:val="2BACC5F2"/>
    <w:lvl w:ilvl="0" w:tplc="C7E63D6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3A"/>
    <w:rsid w:val="0031116B"/>
    <w:rsid w:val="007513A5"/>
    <w:rsid w:val="00980C3A"/>
    <w:rsid w:val="00D7324E"/>
    <w:rsid w:val="00DC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324E"/>
    <w:pPr>
      <w:spacing w:after="0" w:line="240" w:lineRule="auto"/>
    </w:pPr>
    <w:rPr>
      <w:rFonts w:ascii="Arial" w:hAnsi="Arial" w:cs="Arial"/>
    </w:rPr>
  </w:style>
  <w:style w:type="character" w:customStyle="1" w:styleId="PlainTextChar">
    <w:name w:val="Plain Text Char"/>
    <w:basedOn w:val="DefaultParagraphFont"/>
    <w:link w:val="PlainText"/>
    <w:uiPriority w:val="99"/>
    <w:semiHidden/>
    <w:rsid w:val="00D7324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324E"/>
    <w:pPr>
      <w:spacing w:after="0" w:line="240" w:lineRule="auto"/>
    </w:pPr>
    <w:rPr>
      <w:rFonts w:ascii="Arial" w:hAnsi="Arial" w:cs="Arial"/>
    </w:rPr>
  </w:style>
  <w:style w:type="character" w:customStyle="1" w:styleId="PlainTextChar">
    <w:name w:val="Plain Text Char"/>
    <w:basedOn w:val="DefaultParagraphFont"/>
    <w:link w:val="PlainText"/>
    <w:uiPriority w:val="99"/>
    <w:semiHidden/>
    <w:rsid w:val="00D7324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3765">
      <w:bodyDiv w:val="1"/>
      <w:marLeft w:val="0"/>
      <w:marRight w:val="0"/>
      <w:marTop w:val="0"/>
      <w:marBottom w:val="0"/>
      <w:divBdr>
        <w:top w:val="none" w:sz="0" w:space="0" w:color="auto"/>
        <w:left w:val="none" w:sz="0" w:space="0" w:color="auto"/>
        <w:bottom w:val="none" w:sz="0" w:space="0" w:color="auto"/>
        <w:right w:val="none" w:sz="0" w:space="0" w:color="auto"/>
      </w:divBdr>
    </w:div>
    <w:div w:id="495926757">
      <w:bodyDiv w:val="1"/>
      <w:marLeft w:val="0"/>
      <w:marRight w:val="0"/>
      <w:marTop w:val="0"/>
      <w:marBottom w:val="0"/>
      <w:divBdr>
        <w:top w:val="none" w:sz="0" w:space="0" w:color="auto"/>
        <w:left w:val="none" w:sz="0" w:space="0" w:color="auto"/>
        <w:bottom w:val="none" w:sz="0" w:space="0" w:color="auto"/>
        <w:right w:val="none" w:sz="0" w:space="0" w:color="auto"/>
      </w:divBdr>
    </w:div>
    <w:div w:id="597493503">
      <w:bodyDiv w:val="1"/>
      <w:marLeft w:val="0"/>
      <w:marRight w:val="0"/>
      <w:marTop w:val="0"/>
      <w:marBottom w:val="0"/>
      <w:divBdr>
        <w:top w:val="none" w:sz="0" w:space="0" w:color="auto"/>
        <w:left w:val="none" w:sz="0" w:space="0" w:color="auto"/>
        <w:bottom w:val="none" w:sz="0" w:space="0" w:color="auto"/>
        <w:right w:val="none" w:sz="0" w:space="0" w:color="auto"/>
      </w:divBdr>
    </w:div>
    <w:div w:id="17660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2014-08-14T18:51:00Z</dcterms:created>
  <dcterms:modified xsi:type="dcterms:W3CDTF">2014-08-14T19:13:00Z</dcterms:modified>
</cp:coreProperties>
</file>