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5632" w:rsidRPr="001F057F" w:rsidRDefault="00DE21A9">
      <w:pPr>
        <w:spacing w:after="0" w:line="480" w:lineRule="auto"/>
        <w:ind w:firstLine="720"/>
        <w:rPr>
          <w:rFonts w:ascii="Times New Roman" w:hAnsi="Times New Roman" w:cs="Times New Roman"/>
        </w:rPr>
      </w:pPr>
      <w:r w:rsidRPr="001F057F">
        <w:rPr>
          <w:rFonts w:ascii="Times New Roman" w:hAnsi="Times New Roman" w:cs="Times New Roman"/>
        </w:rPr>
        <w:t xml:space="preserve">Conventional historiography on </w:t>
      </w:r>
      <w:r w:rsidRPr="001F057F">
        <w:rPr>
          <w:rFonts w:ascii="Times New Roman" w:hAnsi="Times New Roman" w:cs="Times New Roman"/>
          <w:i/>
        </w:rPr>
        <w:t>Brown v. Board of Education</w:t>
      </w:r>
      <w:r w:rsidRPr="001F057F">
        <w:rPr>
          <w:rFonts w:ascii="Times New Roman" w:hAnsi="Times New Roman" w:cs="Times New Roman"/>
        </w:rPr>
        <w:t xml:space="preserve"> (1954), the landmark Supreme Court decision calling for the end of racial segregation in America’s public schools, describes it as a landmark decision that forever changed American race relations. This paper challenges that historiography. </w:t>
      </w:r>
      <w:r w:rsidRPr="001F057F">
        <w:rPr>
          <w:rFonts w:ascii="Times New Roman" w:hAnsi="Times New Roman" w:cs="Times New Roman"/>
          <w:i/>
        </w:rPr>
        <w:t>Brown</w:t>
      </w:r>
      <w:r w:rsidRPr="001F057F">
        <w:rPr>
          <w:rFonts w:ascii="Times New Roman" w:hAnsi="Times New Roman" w:cs="Times New Roman"/>
        </w:rPr>
        <w:t xml:space="preserve"> arguably did more to elevate race relations and the issue of educational equal opportunity in the national consciousness than any other judicial decision before or since but did not contribute to the actual desegregation of America’s public schools. </w:t>
      </w:r>
    </w:p>
    <w:p w:rsidR="00F04A27" w:rsidRPr="001F057F" w:rsidRDefault="00B22858">
      <w:pPr>
        <w:spacing w:after="0" w:line="480" w:lineRule="auto"/>
        <w:ind w:firstLine="720"/>
        <w:rPr>
          <w:rFonts w:ascii="Times New Roman" w:hAnsi="Times New Roman" w:cs="Times New Roman"/>
        </w:rPr>
      </w:pPr>
      <w:r w:rsidRPr="001F057F">
        <w:rPr>
          <w:rFonts w:ascii="Times New Roman" w:hAnsi="Times New Roman" w:cs="Times New Roman"/>
        </w:rPr>
        <w:t xml:space="preserve">With the passage of </w:t>
      </w:r>
      <w:r w:rsidRPr="001F057F">
        <w:rPr>
          <w:rFonts w:ascii="Times New Roman" w:hAnsi="Times New Roman" w:cs="Times New Roman"/>
          <w:i/>
        </w:rPr>
        <w:t>Brown II</w:t>
      </w:r>
      <w:r w:rsidRPr="001F057F">
        <w:rPr>
          <w:rFonts w:ascii="Times New Roman" w:hAnsi="Times New Roman" w:cs="Times New Roman"/>
        </w:rPr>
        <w:t xml:space="preserve"> in 1955, </w:t>
      </w:r>
      <w:r w:rsidR="00F60A11">
        <w:rPr>
          <w:rFonts w:ascii="Times New Roman" w:hAnsi="Times New Roman" w:cs="Times New Roman"/>
        </w:rPr>
        <w:t xml:space="preserve">which was </w:t>
      </w:r>
      <w:r w:rsidRPr="001F057F">
        <w:rPr>
          <w:rFonts w:ascii="Times New Roman" w:hAnsi="Times New Roman" w:cs="Times New Roman"/>
        </w:rPr>
        <w:t xml:space="preserve">meant to outline the </w:t>
      </w:r>
      <w:proofErr w:type="gramStart"/>
      <w:r w:rsidRPr="001F057F">
        <w:rPr>
          <w:rFonts w:ascii="Times New Roman" w:hAnsi="Times New Roman" w:cs="Times New Roman"/>
        </w:rPr>
        <w:t>implementation</w:t>
      </w:r>
      <w:proofErr w:type="gramEnd"/>
      <w:r w:rsidRPr="001F057F">
        <w:rPr>
          <w:rFonts w:ascii="Times New Roman" w:hAnsi="Times New Roman" w:cs="Times New Roman"/>
        </w:rPr>
        <w:t xml:space="preserve"> of desegregation across the country, the Supreme Court made a grave error</w:t>
      </w:r>
      <w:r w:rsidR="00DE21A9" w:rsidRPr="001F057F">
        <w:rPr>
          <w:rFonts w:ascii="Times New Roman" w:hAnsi="Times New Roman" w:cs="Times New Roman"/>
        </w:rPr>
        <w:t xml:space="preserve"> that would affect education policy and desegregation efforts for decades</w:t>
      </w:r>
      <w:r w:rsidRPr="001F057F">
        <w:rPr>
          <w:rFonts w:ascii="Times New Roman" w:hAnsi="Times New Roman" w:cs="Times New Roman"/>
        </w:rPr>
        <w:t>. Instead of mandating concrete timelines for implementation, the justices used the phrases “prompt and reasonable start,” “earliest practicable date,” and, “with all deliberate speed”.</w:t>
      </w:r>
      <w:r w:rsidRPr="001F057F">
        <w:rPr>
          <w:rFonts w:ascii="Times New Roman" w:hAnsi="Times New Roman" w:cs="Times New Roman"/>
          <w:vertAlign w:val="superscript"/>
        </w:rPr>
        <w:footnoteReference w:id="1"/>
      </w:r>
      <w:r w:rsidRPr="001F057F">
        <w:rPr>
          <w:rFonts w:ascii="Times New Roman" w:hAnsi="Times New Roman" w:cs="Times New Roman"/>
        </w:rPr>
        <w:t xml:space="preserve"> This left the speed and scope of implementation in the hands of predominantly all-white local school boards. Not surprisingly, plans for desegregation across America remained few and far between prior to 1968.</w:t>
      </w:r>
      <w:r w:rsidRPr="001F057F">
        <w:rPr>
          <w:rFonts w:ascii="Times New Roman" w:hAnsi="Times New Roman" w:cs="Times New Roman"/>
          <w:vertAlign w:val="superscript"/>
        </w:rPr>
        <w:footnoteReference w:id="2"/>
      </w:r>
      <w:r w:rsidRPr="001F057F">
        <w:rPr>
          <w:rFonts w:ascii="Times New Roman" w:hAnsi="Times New Roman" w:cs="Times New Roman"/>
        </w:rPr>
        <w:t xml:space="preserve"> Those schools that did attempt desegregation “with all deliberate speed”, such as Central High School in Little Rock, Arkansas, faced enormous opposition and violence causing other cities to further delay implementation to avoid similar disruptions and conflict.</w:t>
      </w:r>
      <w:r w:rsidRPr="001F057F">
        <w:rPr>
          <w:rFonts w:ascii="Times New Roman" w:hAnsi="Times New Roman" w:cs="Times New Roman"/>
          <w:vertAlign w:val="superscript"/>
        </w:rPr>
        <w:footnoteReference w:id="3"/>
      </w:r>
      <w:r w:rsidRPr="001F057F">
        <w:rPr>
          <w:rFonts w:ascii="Times New Roman" w:hAnsi="Times New Roman" w:cs="Times New Roman"/>
        </w:rPr>
        <w:t xml:space="preserve"> Seattle public schools were no exception.</w:t>
      </w:r>
    </w:p>
    <w:p w:rsidR="00F04A27" w:rsidRPr="001F057F" w:rsidRDefault="00B22858">
      <w:pPr>
        <w:spacing w:after="0" w:line="480" w:lineRule="auto"/>
        <w:rPr>
          <w:rFonts w:ascii="Times New Roman" w:hAnsi="Times New Roman" w:cs="Times New Roman"/>
        </w:rPr>
      </w:pPr>
      <w:r w:rsidRPr="001F057F">
        <w:rPr>
          <w:rFonts w:ascii="Times New Roman" w:hAnsi="Times New Roman" w:cs="Times New Roman"/>
        </w:rPr>
        <w:lastRenderedPageBreak/>
        <w:tab/>
        <w:t xml:space="preserve">The passage of </w:t>
      </w:r>
      <w:r w:rsidRPr="001F057F">
        <w:rPr>
          <w:rFonts w:ascii="Times New Roman" w:hAnsi="Times New Roman" w:cs="Times New Roman"/>
          <w:i/>
        </w:rPr>
        <w:t xml:space="preserve">Brown </w:t>
      </w:r>
      <w:r w:rsidRPr="001F057F">
        <w:rPr>
          <w:rFonts w:ascii="Times New Roman" w:hAnsi="Times New Roman" w:cs="Times New Roman"/>
        </w:rPr>
        <w:t xml:space="preserve">went virtually unnoticed in Seattle except for an editorial in the </w:t>
      </w:r>
      <w:r w:rsidRPr="001F057F">
        <w:rPr>
          <w:rFonts w:ascii="Times New Roman" w:hAnsi="Times New Roman" w:cs="Times New Roman"/>
          <w:i/>
        </w:rPr>
        <w:t>Seattle Post-Intelligencer</w:t>
      </w:r>
      <w:r w:rsidRPr="001F057F">
        <w:rPr>
          <w:rFonts w:ascii="Times New Roman" w:hAnsi="Times New Roman" w:cs="Times New Roman"/>
        </w:rPr>
        <w:t xml:space="preserve"> stating, “[t]here is no segregation in the schools of this state.”</w:t>
      </w:r>
      <w:r w:rsidRPr="001F057F">
        <w:rPr>
          <w:rFonts w:ascii="Times New Roman" w:hAnsi="Times New Roman" w:cs="Times New Roman"/>
          <w:vertAlign w:val="superscript"/>
        </w:rPr>
        <w:footnoteReference w:id="4"/>
      </w:r>
      <w:r w:rsidRPr="001F057F">
        <w:rPr>
          <w:rFonts w:ascii="Times New Roman" w:hAnsi="Times New Roman" w:cs="Times New Roman"/>
        </w:rPr>
        <w:t xml:space="preserve"> The </w:t>
      </w:r>
      <w:r w:rsidRPr="001F057F">
        <w:rPr>
          <w:rFonts w:ascii="Times New Roman" w:hAnsi="Times New Roman" w:cs="Times New Roman"/>
          <w:i/>
        </w:rPr>
        <w:t>Seattle Times</w:t>
      </w:r>
      <w:r w:rsidRPr="001F057F">
        <w:rPr>
          <w:rFonts w:ascii="Times New Roman" w:hAnsi="Times New Roman" w:cs="Times New Roman"/>
        </w:rPr>
        <w:t xml:space="preserve"> made no comment at all and the minutes from the first post-</w:t>
      </w:r>
      <w:r w:rsidRPr="001F057F">
        <w:rPr>
          <w:rFonts w:ascii="Times New Roman" w:hAnsi="Times New Roman" w:cs="Times New Roman"/>
          <w:i/>
        </w:rPr>
        <w:t>Brown</w:t>
      </w:r>
      <w:r w:rsidRPr="001F057F">
        <w:rPr>
          <w:rFonts w:ascii="Times New Roman" w:hAnsi="Times New Roman" w:cs="Times New Roman"/>
        </w:rPr>
        <w:t xml:space="preserve"> meeting of the school board made no mention of the ruling or of desegregation.</w:t>
      </w:r>
      <w:r w:rsidRPr="001F057F">
        <w:rPr>
          <w:rFonts w:ascii="Times New Roman" w:hAnsi="Times New Roman" w:cs="Times New Roman"/>
          <w:vertAlign w:val="superscript"/>
        </w:rPr>
        <w:footnoteReference w:id="5"/>
      </w:r>
      <w:r w:rsidRPr="001F057F">
        <w:rPr>
          <w:rFonts w:ascii="Times New Roman" w:hAnsi="Times New Roman" w:cs="Times New Roman"/>
        </w:rPr>
        <w:t xml:space="preserve"> Only after years of community meetings, numerous proposals submitted on behalf of local organizations, and threats of lawsuits, did the Seattle School Board finally respond to Brown in the form of the Voluntary Racial Transfer (VRT) program in August of 1963</w:t>
      </w:r>
      <w:r w:rsidR="00AC53F4" w:rsidRPr="001F057F">
        <w:rPr>
          <w:rFonts w:ascii="Times New Roman" w:hAnsi="Times New Roman" w:cs="Times New Roman"/>
        </w:rPr>
        <w:t xml:space="preserve">, almost a decade after </w:t>
      </w:r>
      <w:r w:rsidR="00AC53F4" w:rsidRPr="001F057F">
        <w:rPr>
          <w:rFonts w:ascii="Times New Roman" w:hAnsi="Times New Roman" w:cs="Times New Roman"/>
          <w:i/>
        </w:rPr>
        <w:t>Brown I</w:t>
      </w:r>
      <w:r w:rsidRPr="001F057F">
        <w:rPr>
          <w:rFonts w:ascii="Times New Roman" w:hAnsi="Times New Roman" w:cs="Times New Roman"/>
        </w:rPr>
        <w:t>.</w:t>
      </w:r>
      <w:r w:rsidRPr="001F057F">
        <w:rPr>
          <w:rFonts w:ascii="Times New Roman" w:hAnsi="Times New Roman" w:cs="Times New Roman"/>
          <w:vertAlign w:val="superscript"/>
        </w:rPr>
        <w:footnoteReference w:id="6"/>
      </w:r>
    </w:p>
    <w:p w:rsidR="00F04A27" w:rsidRPr="001F057F" w:rsidRDefault="00B22858">
      <w:pPr>
        <w:spacing w:after="0" w:line="480" w:lineRule="auto"/>
        <w:rPr>
          <w:rFonts w:ascii="Times New Roman" w:hAnsi="Times New Roman" w:cs="Times New Roman"/>
        </w:rPr>
      </w:pPr>
      <w:r w:rsidRPr="001F057F">
        <w:rPr>
          <w:rFonts w:ascii="Times New Roman" w:hAnsi="Times New Roman" w:cs="Times New Roman"/>
        </w:rPr>
        <w:tab/>
        <w:t>The VRT modified the neighborhood school concept in which students attended schools in their neighborhood to allow for voluntary transfers to “certain schools under certain circumstances.”</w:t>
      </w:r>
      <w:r w:rsidRPr="001F057F">
        <w:rPr>
          <w:rFonts w:ascii="Times New Roman" w:hAnsi="Times New Roman" w:cs="Times New Roman"/>
          <w:vertAlign w:val="superscript"/>
        </w:rPr>
        <w:footnoteReference w:id="7"/>
      </w:r>
      <w:r w:rsidRPr="001F057F">
        <w:rPr>
          <w:rFonts w:ascii="Times New Roman" w:hAnsi="Times New Roman" w:cs="Times New Roman"/>
        </w:rPr>
        <w:t xml:space="preserve"> In its first year (1963-4), 247 students participated in the VRT: 239 black and 8 white, 7 of which subsequently “reverse transferred.”</w:t>
      </w:r>
      <w:r w:rsidRPr="001F057F">
        <w:rPr>
          <w:rFonts w:ascii="Times New Roman" w:hAnsi="Times New Roman" w:cs="Times New Roman"/>
          <w:vertAlign w:val="superscript"/>
        </w:rPr>
        <w:footnoteReference w:id="8"/>
      </w:r>
      <w:r w:rsidRPr="001F057F">
        <w:rPr>
          <w:rFonts w:ascii="Times New Roman" w:hAnsi="Times New Roman" w:cs="Times New Roman"/>
        </w:rPr>
        <w:t xml:space="preserve"> At its peak (1967-8), 1,775 students participated: 1,631 black and 144 white.</w:t>
      </w:r>
      <w:r w:rsidRPr="001F057F">
        <w:rPr>
          <w:rFonts w:ascii="Times New Roman" w:hAnsi="Times New Roman" w:cs="Times New Roman"/>
          <w:vertAlign w:val="superscript"/>
        </w:rPr>
        <w:footnoteReference w:id="9"/>
      </w:r>
      <w:r w:rsidRPr="001F057F">
        <w:rPr>
          <w:rFonts w:ascii="Times New Roman" w:hAnsi="Times New Roman" w:cs="Times New Roman"/>
        </w:rPr>
        <w:t xml:space="preserve"> In any given year, the VRT only affected 4% of Seattle’s students.</w:t>
      </w:r>
      <w:r w:rsidRPr="001F057F">
        <w:rPr>
          <w:rFonts w:ascii="Times New Roman" w:hAnsi="Times New Roman" w:cs="Times New Roman"/>
          <w:vertAlign w:val="superscript"/>
        </w:rPr>
        <w:footnoteReference w:id="10"/>
      </w:r>
      <w:r w:rsidRPr="001F057F">
        <w:rPr>
          <w:rFonts w:ascii="Times New Roman" w:hAnsi="Times New Roman" w:cs="Times New Roman"/>
        </w:rPr>
        <w:t xml:space="preserve"> “Voluntariness,” it seemed, though more politically palatable than a mandatory program, failed to desegregate the Seattle School District. Too few students participated in the program and 90% of those that did </w:t>
      </w:r>
      <w:r w:rsidRPr="001F057F">
        <w:rPr>
          <w:rFonts w:ascii="Times New Roman" w:hAnsi="Times New Roman" w:cs="Times New Roman"/>
        </w:rPr>
        <w:lastRenderedPageBreak/>
        <w:t>participate were African American students transferring out of the Central Area</w:t>
      </w:r>
      <w:r w:rsidRPr="001F057F">
        <w:rPr>
          <w:rFonts w:ascii="Times New Roman" w:hAnsi="Times New Roman" w:cs="Times New Roman"/>
          <w:vertAlign w:val="superscript"/>
        </w:rPr>
        <w:footnoteReference w:id="11"/>
      </w:r>
      <w:r w:rsidRPr="001F057F">
        <w:rPr>
          <w:rFonts w:ascii="Times New Roman" w:hAnsi="Times New Roman" w:cs="Times New Roman"/>
        </w:rPr>
        <w:t xml:space="preserve">, not white students entering, </w:t>
      </w:r>
      <w:r w:rsidR="00AC53F4" w:rsidRPr="001F057F">
        <w:rPr>
          <w:rFonts w:ascii="Times New Roman" w:hAnsi="Times New Roman" w:cs="Times New Roman"/>
        </w:rPr>
        <w:t>leaving the</w:t>
      </w:r>
      <w:r w:rsidRPr="001F057F">
        <w:rPr>
          <w:rFonts w:ascii="Times New Roman" w:hAnsi="Times New Roman" w:cs="Times New Roman"/>
        </w:rPr>
        <w:t xml:space="preserve"> Central Area racially unchanged.</w:t>
      </w:r>
      <w:r w:rsidRPr="001F057F">
        <w:rPr>
          <w:rFonts w:ascii="Times New Roman" w:hAnsi="Times New Roman" w:cs="Times New Roman"/>
          <w:vertAlign w:val="superscript"/>
        </w:rPr>
        <w:footnoteReference w:id="12"/>
      </w:r>
      <w:r w:rsidRPr="001F057F">
        <w:rPr>
          <w:rFonts w:ascii="Times New Roman" w:hAnsi="Times New Roman" w:cs="Times New Roman"/>
        </w:rPr>
        <w:t xml:space="preserve"> Predominantly white schools like Queen Anne and Ingraham High Schools remained well over 90% white.</w:t>
      </w:r>
      <w:r w:rsidRPr="001F057F">
        <w:rPr>
          <w:rFonts w:ascii="Times New Roman" w:hAnsi="Times New Roman" w:cs="Times New Roman"/>
          <w:vertAlign w:val="superscript"/>
        </w:rPr>
        <w:footnoteReference w:id="13"/>
      </w:r>
      <w:r w:rsidRPr="001F057F">
        <w:rPr>
          <w:rFonts w:ascii="Times New Roman" w:hAnsi="Times New Roman" w:cs="Times New Roman"/>
        </w:rPr>
        <w:t xml:space="preserve"> Before long, the same civil rights groups that had lobbied for the VRT began to withdraw their support.</w:t>
      </w:r>
      <w:r w:rsidRPr="001F057F">
        <w:rPr>
          <w:rFonts w:ascii="Times New Roman" w:hAnsi="Times New Roman" w:cs="Times New Roman"/>
          <w:vertAlign w:val="superscript"/>
        </w:rPr>
        <w:footnoteReference w:id="14"/>
      </w:r>
      <w:r w:rsidRPr="001F057F">
        <w:rPr>
          <w:rFonts w:ascii="Times New Roman" w:hAnsi="Times New Roman" w:cs="Times New Roman"/>
        </w:rPr>
        <w:t xml:space="preserve"> </w:t>
      </w:r>
    </w:p>
    <w:p w:rsidR="00F04A27" w:rsidRPr="001F057F" w:rsidRDefault="00B22858">
      <w:pPr>
        <w:spacing w:after="0" w:line="480" w:lineRule="auto"/>
        <w:ind w:firstLine="720"/>
        <w:rPr>
          <w:rFonts w:ascii="Times New Roman" w:hAnsi="Times New Roman" w:cs="Times New Roman"/>
        </w:rPr>
      </w:pPr>
      <w:r w:rsidRPr="001F057F">
        <w:rPr>
          <w:rFonts w:ascii="Times New Roman" w:hAnsi="Times New Roman" w:cs="Times New Roman"/>
        </w:rPr>
        <w:t xml:space="preserve">As pressure from community groups mounted and the threat of a federal lawsuit by the NAACP loomed, the School Board finally adopted the Seattle Plan in December of 1977, over twenty years after </w:t>
      </w:r>
      <w:r w:rsidRPr="001F057F">
        <w:rPr>
          <w:rFonts w:ascii="Times New Roman" w:hAnsi="Times New Roman" w:cs="Times New Roman"/>
          <w:i/>
        </w:rPr>
        <w:t>Brown I</w:t>
      </w:r>
      <w:r w:rsidRPr="001F057F">
        <w:rPr>
          <w:rFonts w:ascii="Times New Roman" w:hAnsi="Times New Roman" w:cs="Times New Roman"/>
        </w:rPr>
        <w:t>.</w:t>
      </w:r>
      <w:r w:rsidRPr="001F057F">
        <w:rPr>
          <w:rFonts w:ascii="Times New Roman" w:hAnsi="Times New Roman" w:cs="Times New Roman"/>
          <w:vertAlign w:val="superscript"/>
        </w:rPr>
        <w:footnoteReference w:id="15"/>
      </w:r>
      <w:r w:rsidRPr="001F057F">
        <w:rPr>
          <w:rFonts w:ascii="Times New Roman" w:hAnsi="Times New Roman" w:cs="Times New Roman"/>
        </w:rPr>
        <w:t xml:space="preserve"> </w:t>
      </w:r>
      <w:r w:rsidRPr="001F057F">
        <w:rPr>
          <w:rFonts w:ascii="Times New Roman" w:hAnsi="Times New Roman" w:cs="Times New Roman"/>
          <w:vertAlign w:val="superscript"/>
        </w:rPr>
        <w:footnoteReference w:id="16"/>
      </w:r>
      <w:r w:rsidRPr="001F057F">
        <w:rPr>
          <w:rFonts w:ascii="Times New Roman" w:hAnsi="Times New Roman" w:cs="Times New Roman"/>
        </w:rPr>
        <w:t xml:space="preserve"> The Seattle Plan “was designed as a comprehensive desegregation program to eliminate racially imbalanced schools in Seattle by the fall of 1979” through the application of four components: zone organization, paired or </w:t>
      </w:r>
      <w:proofErr w:type="spellStart"/>
      <w:r w:rsidRPr="001F057F">
        <w:rPr>
          <w:rFonts w:ascii="Times New Roman" w:hAnsi="Times New Roman" w:cs="Times New Roman"/>
        </w:rPr>
        <w:t>triaded</w:t>
      </w:r>
      <w:proofErr w:type="spellEnd"/>
      <w:r w:rsidRPr="001F057F">
        <w:rPr>
          <w:rFonts w:ascii="Times New Roman" w:hAnsi="Times New Roman" w:cs="Times New Roman"/>
        </w:rPr>
        <w:t xml:space="preserve"> elementary schools, assignment patterns for secondary schools, and education options.</w:t>
      </w:r>
      <w:r w:rsidRPr="001F057F">
        <w:rPr>
          <w:rFonts w:ascii="Times New Roman" w:hAnsi="Times New Roman" w:cs="Times New Roman"/>
          <w:vertAlign w:val="superscript"/>
        </w:rPr>
        <w:footnoteReference w:id="17"/>
      </w:r>
      <w:r w:rsidRPr="001F057F">
        <w:rPr>
          <w:rFonts w:ascii="Times New Roman" w:hAnsi="Times New Roman" w:cs="Times New Roman"/>
        </w:rPr>
        <w:t xml:space="preserve"> The same year, the School Board introduced the Magnet Program. The intent of the Magnet Program, writes William Maynard, “was to place the programs in strategic schools to attract minority students to white schools and white students to minority schools” based on the appeal of particular programs to a particular racial </w:t>
      </w:r>
      <w:r w:rsidRPr="001F057F">
        <w:rPr>
          <w:rFonts w:ascii="Times New Roman" w:hAnsi="Times New Roman" w:cs="Times New Roman"/>
        </w:rPr>
        <w:lastRenderedPageBreak/>
        <w:t>group.</w:t>
      </w:r>
      <w:r w:rsidRPr="001F057F">
        <w:rPr>
          <w:rFonts w:ascii="Times New Roman" w:hAnsi="Times New Roman" w:cs="Times New Roman"/>
          <w:vertAlign w:val="superscript"/>
        </w:rPr>
        <w:footnoteReference w:id="18"/>
      </w:r>
      <w:r w:rsidRPr="001F057F">
        <w:rPr>
          <w:rFonts w:ascii="Times New Roman" w:hAnsi="Times New Roman" w:cs="Times New Roman"/>
        </w:rPr>
        <w:t xml:space="preserve"> The district undermined the potential effectiveness of this program by offering the same options at both predominantly white and predominantly non-white schools. For example, both Queen Anne </w:t>
      </w:r>
      <w:r w:rsidR="00DE5632" w:rsidRPr="001F057F">
        <w:rPr>
          <w:rFonts w:ascii="Times New Roman" w:hAnsi="Times New Roman" w:cs="Times New Roman"/>
        </w:rPr>
        <w:t xml:space="preserve">High School </w:t>
      </w:r>
      <w:r w:rsidRPr="001F057F">
        <w:rPr>
          <w:rFonts w:ascii="Times New Roman" w:hAnsi="Times New Roman" w:cs="Times New Roman"/>
        </w:rPr>
        <w:t xml:space="preserve">(predominantly white) and Cleveland </w:t>
      </w:r>
      <w:r w:rsidR="00DE5632" w:rsidRPr="001F057F">
        <w:rPr>
          <w:rFonts w:ascii="Times New Roman" w:hAnsi="Times New Roman" w:cs="Times New Roman"/>
        </w:rPr>
        <w:t xml:space="preserve">High School </w:t>
      </w:r>
      <w:r w:rsidRPr="001F057F">
        <w:rPr>
          <w:rFonts w:ascii="Times New Roman" w:hAnsi="Times New Roman" w:cs="Times New Roman"/>
        </w:rPr>
        <w:t>(predominantly non-white) offered the Business Administration Program, thereby decreasing the likelihood that white students transfer to Cleveland for that particular program and vice versa.</w:t>
      </w:r>
      <w:r w:rsidRPr="001F057F">
        <w:rPr>
          <w:rFonts w:ascii="Times New Roman" w:hAnsi="Times New Roman" w:cs="Times New Roman"/>
          <w:vertAlign w:val="superscript"/>
        </w:rPr>
        <w:footnoteReference w:id="19"/>
      </w:r>
      <w:r w:rsidRPr="001F057F">
        <w:rPr>
          <w:rFonts w:ascii="Times New Roman" w:hAnsi="Times New Roman" w:cs="Times New Roman"/>
        </w:rPr>
        <w:t xml:space="preserve"> In fact, only twelve students transferred to Cleveland for the Magnet Program in 1977.</w:t>
      </w:r>
      <w:r w:rsidRPr="001F057F">
        <w:rPr>
          <w:rFonts w:ascii="Times New Roman" w:hAnsi="Times New Roman" w:cs="Times New Roman"/>
          <w:vertAlign w:val="superscript"/>
        </w:rPr>
        <w:footnoteReference w:id="20"/>
      </w:r>
      <w:r w:rsidRPr="001F057F">
        <w:rPr>
          <w:rFonts w:ascii="Times New Roman" w:hAnsi="Times New Roman" w:cs="Times New Roman"/>
        </w:rPr>
        <w:t xml:space="preserve"> Despite the VRT (1963), the Magnet Program (1977), and the Seattle Plan (1977), the Seattle School District remained “racially imbalanced”</w:t>
      </w:r>
      <w:r w:rsidR="00AC53F4" w:rsidRPr="001F057F">
        <w:rPr>
          <w:rFonts w:ascii="Times New Roman" w:hAnsi="Times New Roman" w:cs="Times New Roman"/>
        </w:rPr>
        <w:t xml:space="preserve"> into the 1980s</w:t>
      </w:r>
      <w:r w:rsidRPr="001F057F">
        <w:rPr>
          <w:rFonts w:ascii="Times New Roman" w:hAnsi="Times New Roman" w:cs="Times New Roman"/>
        </w:rPr>
        <w:t xml:space="preserve">. </w:t>
      </w:r>
    </w:p>
    <w:p w:rsidR="00365E7F" w:rsidRPr="001F057F" w:rsidRDefault="00365E7F" w:rsidP="00365E7F">
      <w:pPr>
        <w:spacing w:after="0" w:line="480" w:lineRule="auto"/>
        <w:ind w:firstLine="720"/>
        <w:rPr>
          <w:rFonts w:ascii="Times New Roman" w:hAnsi="Times New Roman" w:cs="Times New Roman"/>
        </w:rPr>
      </w:pPr>
      <w:r w:rsidRPr="001F057F">
        <w:rPr>
          <w:rFonts w:ascii="Times New Roman" w:hAnsi="Times New Roman" w:cs="Times New Roman"/>
        </w:rPr>
        <w:t xml:space="preserve">Natural migration, community pressure, and fear of federal lawsuits played larger roles in desegregating the Seattle School District (to the extent that it was desegregated) than </w:t>
      </w:r>
      <w:r w:rsidRPr="001F057F">
        <w:rPr>
          <w:rFonts w:ascii="Times New Roman" w:hAnsi="Times New Roman" w:cs="Times New Roman"/>
          <w:i/>
        </w:rPr>
        <w:t xml:space="preserve">Brown I </w:t>
      </w:r>
      <w:r w:rsidRPr="001F057F">
        <w:rPr>
          <w:rFonts w:ascii="Times New Roman" w:hAnsi="Times New Roman" w:cs="Times New Roman"/>
        </w:rPr>
        <w:t>or</w:t>
      </w:r>
      <w:r w:rsidRPr="001F057F">
        <w:rPr>
          <w:rFonts w:ascii="Times New Roman" w:hAnsi="Times New Roman" w:cs="Times New Roman"/>
          <w:i/>
        </w:rPr>
        <w:t xml:space="preserve"> II</w:t>
      </w:r>
      <w:r w:rsidRPr="001F057F">
        <w:rPr>
          <w:rFonts w:ascii="Times New Roman" w:hAnsi="Times New Roman" w:cs="Times New Roman"/>
        </w:rPr>
        <w:t xml:space="preserve">. Philip Burton, a Seattle transplant from Topeka, Kansas who witnessed the desegregation battles in both cities, remarked, “[t]he 1954 </w:t>
      </w:r>
      <w:r w:rsidRPr="001F057F">
        <w:rPr>
          <w:rFonts w:ascii="Times New Roman" w:hAnsi="Times New Roman" w:cs="Times New Roman"/>
          <w:i/>
        </w:rPr>
        <w:t>Brown</w:t>
      </w:r>
      <w:r w:rsidRPr="001F057F">
        <w:rPr>
          <w:rFonts w:ascii="Times New Roman" w:hAnsi="Times New Roman" w:cs="Times New Roman"/>
        </w:rPr>
        <w:t xml:space="preserve"> decision really didn’t make much of an impact on Seattle.”</w:t>
      </w:r>
      <w:r w:rsidRPr="001F057F">
        <w:rPr>
          <w:rFonts w:ascii="Times New Roman" w:hAnsi="Times New Roman" w:cs="Times New Roman"/>
          <w:vertAlign w:val="superscript"/>
        </w:rPr>
        <w:footnoteReference w:id="21"/>
      </w:r>
      <w:r w:rsidRPr="001F057F">
        <w:rPr>
          <w:rFonts w:ascii="Times New Roman" w:hAnsi="Times New Roman" w:cs="Times New Roman"/>
        </w:rPr>
        <w:t xml:space="preserve"> To make matters worse, by the time Seattle finally began implementing desegregation efforts in the late 1970s, America underwent a strong conservative shift and Seattle, like a number of other major cities such as Boston, Detroit, Hartford, Kansas City, and Norfolk, fell victim to anti-desegregation forces and less invidious forms of re-segregation.</w:t>
      </w:r>
      <w:r w:rsidRPr="001F057F">
        <w:rPr>
          <w:rStyle w:val="FootnoteReference"/>
          <w:rFonts w:ascii="Times New Roman" w:hAnsi="Times New Roman" w:cs="Times New Roman"/>
        </w:rPr>
        <w:footnoteReference w:id="22"/>
      </w:r>
      <w:r w:rsidRPr="001F057F">
        <w:rPr>
          <w:rFonts w:ascii="Times New Roman" w:hAnsi="Times New Roman" w:cs="Times New Roman"/>
        </w:rPr>
        <w:t xml:space="preserve"> In the 1980s, most desegregation efforts across the country were dismantled or abandoned.</w:t>
      </w:r>
    </w:p>
    <w:p w:rsidR="006C50AC" w:rsidRPr="001F057F" w:rsidRDefault="00B22858" w:rsidP="00365E7F">
      <w:pPr>
        <w:spacing w:after="0" w:line="480" w:lineRule="auto"/>
        <w:ind w:firstLine="720"/>
        <w:rPr>
          <w:rFonts w:ascii="Times New Roman" w:hAnsi="Times New Roman" w:cs="Times New Roman"/>
        </w:rPr>
      </w:pPr>
      <w:r w:rsidRPr="001F057F">
        <w:rPr>
          <w:rFonts w:ascii="Times New Roman" w:hAnsi="Times New Roman" w:cs="Times New Roman"/>
        </w:rPr>
        <w:lastRenderedPageBreak/>
        <w:t xml:space="preserve">Education in America is an on-going experiment of turning ideals into reality. While </w:t>
      </w:r>
      <w:r w:rsidRPr="001F057F">
        <w:rPr>
          <w:rFonts w:ascii="Times New Roman" w:hAnsi="Times New Roman" w:cs="Times New Roman"/>
          <w:i/>
        </w:rPr>
        <w:t>Brown</w:t>
      </w:r>
      <w:r w:rsidRPr="001F057F">
        <w:rPr>
          <w:rFonts w:ascii="Times New Roman" w:hAnsi="Times New Roman" w:cs="Times New Roman"/>
        </w:rPr>
        <w:t xml:space="preserve"> elevated issues of equal opportunity and desegregation to a place of promi</w:t>
      </w:r>
      <w:r w:rsidR="006C50AC" w:rsidRPr="001F057F">
        <w:rPr>
          <w:rFonts w:ascii="Times New Roman" w:hAnsi="Times New Roman" w:cs="Times New Roman"/>
        </w:rPr>
        <w:t>nence among students, parents, b</w:t>
      </w:r>
      <w:r w:rsidRPr="001F057F">
        <w:rPr>
          <w:rFonts w:ascii="Times New Roman" w:hAnsi="Times New Roman" w:cs="Times New Roman"/>
        </w:rPr>
        <w:t>oard members, scholars, educationists, and politicians, it did not succeed in achieving widespread, tangible results. Instead, efforts to desegregate America’s public schools remain slow, tedious, and uneven.</w:t>
      </w:r>
      <w:r w:rsidRPr="001F057F">
        <w:rPr>
          <w:rFonts w:ascii="Times New Roman" w:hAnsi="Times New Roman" w:cs="Times New Roman"/>
          <w:vertAlign w:val="superscript"/>
        </w:rPr>
        <w:footnoteReference w:id="23"/>
      </w:r>
      <w:r w:rsidRPr="001F057F">
        <w:rPr>
          <w:rFonts w:ascii="Times New Roman" w:hAnsi="Times New Roman" w:cs="Times New Roman"/>
        </w:rPr>
        <w:t xml:space="preserve"> While the racial composition of Seattle’s schools did undergo dramatic changes in the second half of the </w:t>
      </w:r>
      <w:r w:rsidR="00F60A11">
        <w:rPr>
          <w:rFonts w:ascii="Times New Roman" w:hAnsi="Times New Roman" w:cs="Times New Roman"/>
        </w:rPr>
        <w:t>T</w:t>
      </w:r>
      <w:r w:rsidRPr="001F057F">
        <w:rPr>
          <w:rFonts w:ascii="Times New Roman" w:hAnsi="Times New Roman" w:cs="Times New Roman"/>
        </w:rPr>
        <w:t>w</w:t>
      </w:r>
      <w:r w:rsidR="00F60A11">
        <w:rPr>
          <w:rFonts w:ascii="Times New Roman" w:hAnsi="Times New Roman" w:cs="Times New Roman"/>
        </w:rPr>
        <w:t>entieth C</w:t>
      </w:r>
      <w:r w:rsidRPr="001F057F">
        <w:rPr>
          <w:rFonts w:ascii="Times New Roman" w:hAnsi="Times New Roman" w:cs="Times New Roman"/>
        </w:rPr>
        <w:t>entury, those changes owe more to the slow</w:t>
      </w:r>
      <w:r w:rsidR="00F60A11">
        <w:rPr>
          <w:rFonts w:ascii="Times New Roman" w:hAnsi="Times New Roman" w:cs="Times New Roman"/>
        </w:rPr>
        <w:t>,</w:t>
      </w:r>
      <w:r w:rsidRPr="001F057F">
        <w:rPr>
          <w:rFonts w:ascii="Times New Roman" w:hAnsi="Times New Roman" w:cs="Times New Roman"/>
        </w:rPr>
        <w:t xml:space="preserve"> natural expansion of the black community out of the Central Area and to </w:t>
      </w:r>
      <w:r w:rsidR="00AC53F4" w:rsidRPr="001F057F">
        <w:rPr>
          <w:rFonts w:ascii="Times New Roman" w:hAnsi="Times New Roman" w:cs="Times New Roman"/>
        </w:rPr>
        <w:t xml:space="preserve">“white flight” </w:t>
      </w:r>
      <w:r w:rsidRPr="001F057F">
        <w:rPr>
          <w:rFonts w:ascii="Times New Roman" w:hAnsi="Times New Roman" w:cs="Times New Roman"/>
        </w:rPr>
        <w:t>than to concerted desegregation efforts on behalf of the school board. By leaving the scope and speed of desegregation in the hands of local school boa</w:t>
      </w:r>
      <w:r w:rsidR="00AC53F4" w:rsidRPr="001F057F">
        <w:rPr>
          <w:rFonts w:ascii="Times New Roman" w:hAnsi="Times New Roman" w:cs="Times New Roman"/>
        </w:rPr>
        <w:t>rds, the Supreme Court opened the</w:t>
      </w:r>
      <w:r w:rsidRPr="001F057F">
        <w:rPr>
          <w:rFonts w:ascii="Times New Roman" w:hAnsi="Times New Roman" w:cs="Times New Roman"/>
        </w:rPr>
        <w:t xml:space="preserve"> door to decades of </w:t>
      </w:r>
      <w:r w:rsidR="006C50AC" w:rsidRPr="001F057F">
        <w:rPr>
          <w:rFonts w:ascii="Times New Roman" w:hAnsi="Times New Roman" w:cs="Times New Roman"/>
        </w:rPr>
        <w:t xml:space="preserve">deferral and inaction. </w:t>
      </w:r>
    </w:p>
    <w:p w:rsidR="00F04A27" w:rsidRPr="001F057F" w:rsidRDefault="006C50AC" w:rsidP="00365E7F">
      <w:pPr>
        <w:spacing w:after="0" w:line="480" w:lineRule="auto"/>
        <w:ind w:firstLine="720"/>
        <w:rPr>
          <w:rFonts w:ascii="Times New Roman" w:hAnsi="Times New Roman" w:cs="Times New Roman"/>
        </w:rPr>
      </w:pPr>
      <w:r w:rsidRPr="001F057F">
        <w:rPr>
          <w:rFonts w:ascii="Times New Roman" w:hAnsi="Times New Roman" w:cs="Times New Roman"/>
        </w:rPr>
        <w:t>This error in the phrasing of the Supreme Court’s decision left generations of American students at a distinct social and educational disadvantage</w:t>
      </w:r>
      <w:r w:rsidR="00DE21A9" w:rsidRPr="001F057F">
        <w:rPr>
          <w:rFonts w:ascii="Times New Roman" w:hAnsi="Times New Roman" w:cs="Times New Roman"/>
        </w:rPr>
        <w:t xml:space="preserve"> and weakened their ability to fully participate in American democracy. A strong representational democracy depends on equitable education of society’s youth; without it, America tempts ignorance and tyranny.  </w:t>
      </w:r>
    </w:p>
    <w:p w:rsidR="00F04A27" w:rsidRPr="001F057F" w:rsidRDefault="00F04A27">
      <w:pPr>
        <w:rPr>
          <w:rFonts w:ascii="Times New Roman" w:hAnsi="Times New Roman" w:cs="Times New Roman"/>
        </w:rPr>
      </w:pPr>
    </w:p>
    <w:sectPr w:rsidR="00F04A27" w:rsidRPr="001F057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D7" w:rsidRDefault="00BA0AD7">
      <w:pPr>
        <w:spacing w:after="0"/>
      </w:pPr>
      <w:r>
        <w:separator/>
      </w:r>
    </w:p>
  </w:endnote>
  <w:endnote w:type="continuationSeparator" w:id="0">
    <w:p w:rsidR="00BA0AD7" w:rsidRDefault="00BA0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69" w:rsidRDefault="00C61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23676"/>
      <w:docPartObj>
        <w:docPartGallery w:val="Page Numbers (Bottom of Page)"/>
        <w:docPartUnique/>
      </w:docPartObj>
    </w:sdtPr>
    <w:sdtEndPr>
      <w:rPr>
        <w:noProof/>
      </w:rPr>
    </w:sdtEndPr>
    <w:sdtContent>
      <w:p w:rsidR="008F14BC" w:rsidRDefault="008F14BC">
        <w:pPr>
          <w:pStyle w:val="Footer"/>
          <w:jc w:val="right"/>
        </w:pPr>
        <w:r>
          <w:fldChar w:fldCharType="begin"/>
        </w:r>
        <w:r>
          <w:instrText xml:space="preserve"> PAGE   \* MERGEFORMAT </w:instrText>
        </w:r>
        <w:r>
          <w:fldChar w:fldCharType="separate"/>
        </w:r>
        <w:r w:rsidR="00C61169">
          <w:rPr>
            <w:noProof/>
          </w:rPr>
          <w:t>1</w:t>
        </w:r>
        <w:r>
          <w:rPr>
            <w:noProof/>
          </w:rPr>
          <w:fldChar w:fldCharType="end"/>
        </w:r>
      </w:p>
    </w:sdtContent>
  </w:sdt>
  <w:p w:rsidR="00F04A27" w:rsidRDefault="00F04A27">
    <w:pPr>
      <w:tabs>
        <w:tab w:val="center" w:pos="4320"/>
        <w:tab w:val="right" w:pos="8640"/>
      </w:tabs>
      <w:spacing w:after="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69" w:rsidRDefault="00C6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D7" w:rsidRDefault="00BA0AD7">
      <w:pPr>
        <w:spacing w:after="0"/>
      </w:pPr>
      <w:r>
        <w:separator/>
      </w:r>
    </w:p>
  </w:footnote>
  <w:footnote w:type="continuationSeparator" w:id="0">
    <w:p w:rsidR="00BA0AD7" w:rsidRDefault="00BA0AD7">
      <w:pPr>
        <w:spacing w:after="0"/>
      </w:pPr>
      <w:r>
        <w:continuationSeparator/>
      </w:r>
    </w:p>
  </w:footnote>
  <w:footnote w:id="1">
    <w:p w:rsidR="00F04A27" w:rsidRDefault="00B22858">
      <w:pPr>
        <w:spacing w:after="0"/>
      </w:pPr>
      <w:r>
        <w:rPr>
          <w:vertAlign w:val="superscript"/>
        </w:rPr>
        <w:footnoteRef/>
      </w:r>
      <w:r>
        <w:t xml:space="preserve"> </w:t>
      </w:r>
      <w:proofErr w:type="gramStart"/>
      <w:r>
        <w:rPr>
          <w:i/>
          <w:sz w:val="20"/>
        </w:rPr>
        <w:t>Brown v. Board of Education of Topeka, Kansas (II)</w:t>
      </w:r>
      <w:r>
        <w:rPr>
          <w:sz w:val="20"/>
        </w:rPr>
        <w:t>, 349 U.S. 294 (1955).</w:t>
      </w:r>
      <w:proofErr w:type="gramEnd"/>
    </w:p>
  </w:footnote>
  <w:footnote w:id="2">
    <w:p w:rsidR="00F04A27" w:rsidRDefault="00B22858">
      <w:pPr>
        <w:spacing w:after="0"/>
      </w:pPr>
      <w:r>
        <w:rPr>
          <w:vertAlign w:val="superscript"/>
        </w:rPr>
        <w:footnoteRef/>
      </w:r>
      <w:r>
        <w:t xml:space="preserve"> </w:t>
      </w:r>
      <w:r>
        <w:rPr>
          <w:sz w:val="20"/>
        </w:rPr>
        <w:t xml:space="preserve">Charles </w:t>
      </w:r>
      <w:proofErr w:type="spellStart"/>
      <w:r>
        <w:rPr>
          <w:sz w:val="20"/>
        </w:rPr>
        <w:t>Vert</w:t>
      </w:r>
      <w:proofErr w:type="spellEnd"/>
      <w:r>
        <w:rPr>
          <w:sz w:val="20"/>
        </w:rPr>
        <w:t xml:space="preserve"> Willie, </w:t>
      </w:r>
      <w:r>
        <w:rPr>
          <w:i/>
          <w:sz w:val="20"/>
        </w:rPr>
        <w:t>School Desegregation Plans That Work</w:t>
      </w:r>
      <w:r>
        <w:rPr>
          <w:sz w:val="20"/>
        </w:rPr>
        <w:t xml:space="preserve"> (Westport, Connecticut: Greenwood, 1984), 5. </w:t>
      </w:r>
    </w:p>
  </w:footnote>
  <w:footnote w:id="3">
    <w:p w:rsidR="00F04A27" w:rsidRDefault="00B22858">
      <w:pPr>
        <w:spacing w:after="0"/>
      </w:pPr>
      <w:r>
        <w:rPr>
          <w:vertAlign w:val="superscript"/>
        </w:rPr>
        <w:footnoteRef/>
      </w:r>
      <w:r>
        <w:t xml:space="preserve"> </w:t>
      </w:r>
      <w:r>
        <w:rPr>
          <w:sz w:val="20"/>
        </w:rPr>
        <w:t xml:space="preserve">When Little Rock, Arkansas attempted to desegregate Central High School in 1957, Governor </w:t>
      </w:r>
      <w:proofErr w:type="spellStart"/>
      <w:r>
        <w:rPr>
          <w:sz w:val="20"/>
        </w:rPr>
        <w:t>Orval</w:t>
      </w:r>
      <w:proofErr w:type="spellEnd"/>
      <w:r>
        <w:rPr>
          <w:sz w:val="20"/>
        </w:rPr>
        <w:t xml:space="preserve"> </w:t>
      </w:r>
      <w:proofErr w:type="spellStart"/>
      <w:r>
        <w:rPr>
          <w:sz w:val="20"/>
        </w:rPr>
        <w:t>Faubus</w:t>
      </w:r>
      <w:proofErr w:type="spellEnd"/>
      <w:r>
        <w:rPr>
          <w:sz w:val="20"/>
        </w:rPr>
        <w:t xml:space="preserve"> directed National Guardsmen to block the entrance of the school, keeping the nine African American students attempting to enter out. President Eisenhower reluctantly dispatched paratroopers to Little Rock to ensure the safe entrance of the black students as an angry crowd taunted and threatened them. Richard </w:t>
      </w:r>
      <w:proofErr w:type="spellStart"/>
      <w:r>
        <w:rPr>
          <w:sz w:val="20"/>
        </w:rPr>
        <w:t>Kluger</w:t>
      </w:r>
      <w:proofErr w:type="spellEnd"/>
      <w:r>
        <w:rPr>
          <w:sz w:val="20"/>
        </w:rPr>
        <w:t xml:space="preserve">, </w:t>
      </w:r>
      <w:r>
        <w:rPr>
          <w:i/>
          <w:sz w:val="20"/>
        </w:rPr>
        <w:t>Simple Justice</w:t>
      </w:r>
      <w:r>
        <w:rPr>
          <w:sz w:val="20"/>
        </w:rPr>
        <w:t xml:space="preserve"> (New York: Alfred A. Knopf, 1976), 753-754.</w:t>
      </w:r>
    </w:p>
  </w:footnote>
  <w:footnote w:id="4">
    <w:p w:rsidR="00F04A27" w:rsidRDefault="00B22858">
      <w:pPr>
        <w:spacing w:after="0"/>
      </w:pPr>
      <w:r>
        <w:rPr>
          <w:vertAlign w:val="superscript"/>
        </w:rPr>
        <w:footnoteRef/>
      </w:r>
      <w:r>
        <w:rPr>
          <w:sz w:val="20"/>
        </w:rPr>
        <w:t xml:space="preserve"> Doris H. </w:t>
      </w:r>
      <w:proofErr w:type="spellStart"/>
      <w:r>
        <w:rPr>
          <w:sz w:val="20"/>
        </w:rPr>
        <w:t>Pieroth</w:t>
      </w:r>
      <w:proofErr w:type="spellEnd"/>
      <w:r>
        <w:rPr>
          <w:sz w:val="20"/>
        </w:rPr>
        <w:t>, “With All Deliberate Caution: School Integration in Seattle, 1954-1968,” Pacific Northwest Quarterly 73 (1982): 50.</w:t>
      </w:r>
    </w:p>
  </w:footnote>
  <w:footnote w:id="5">
    <w:p w:rsidR="00F04A27" w:rsidRDefault="00B22858">
      <w:pPr>
        <w:spacing w:after="0"/>
      </w:pPr>
      <w:r>
        <w:rPr>
          <w:vertAlign w:val="superscript"/>
        </w:rPr>
        <w:footnoteRef/>
      </w:r>
      <w:r>
        <w:t xml:space="preserve"> </w:t>
      </w:r>
      <w:proofErr w:type="spellStart"/>
      <w:proofErr w:type="gramStart"/>
      <w:r>
        <w:rPr>
          <w:sz w:val="20"/>
        </w:rPr>
        <w:t>Pieroth</w:t>
      </w:r>
      <w:proofErr w:type="spellEnd"/>
      <w:r>
        <w:rPr>
          <w:sz w:val="20"/>
        </w:rPr>
        <w:t>, 50.</w:t>
      </w:r>
      <w:proofErr w:type="gramEnd"/>
    </w:p>
  </w:footnote>
  <w:footnote w:id="6">
    <w:p w:rsidR="00F04A27" w:rsidRDefault="00B22858">
      <w:pPr>
        <w:spacing w:after="0"/>
      </w:pPr>
      <w:r>
        <w:rPr>
          <w:vertAlign w:val="superscript"/>
        </w:rPr>
        <w:footnoteRef/>
      </w:r>
      <w:r>
        <w:t xml:space="preserve"> </w:t>
      </w:r>
      <w:proofErr w:type="spellStart"/>
      <w:r w:rsidR="006B4129">
        <w:rPr>
          <w:sz w:val="20"/>
        </w:rPr>
        <w:t>Pieroth</w:t>
      </w:r>
      <w:proofErr w:type="spellEnd"/>
      <w:r>
        <w:rPr>
          <w:sz w:val="20"/>
        </w:rPr>
        <w:t xml:space="preserve">, 51-53 and Ann </w:t>
      </w:r>
      <w:proofErr w:type="spellStart"/>
      <w:r>
        <w:rPr>
          <w:sz w:val="20"/>
        </w:rPr>
        <w:t>LeGrelius</w:t>
      </w:r>
      <w:proofErr w:type="spellEnd"/>
      <w:r>
        <w:rPr>
          <w:sz w:val="20"/>
        </w:rPr>
        <w:t xml:space="preserve"> </w:t>
      </w:r>
      <w:proofErr w:type="spellStart"/>
      <w:r>
        <w:rPr>
          <w:sz w:val="20"/>
        </w:rPr>
        <w:t>Siqueland</w:t>
      </w:r>
      <w:proofErr w:type="spellEnd"/>
      <w:r>
        <w:rPr>
          <w:sz w:val="20"/>
        </w:rPr>
        <w:t xml:space="preserve">, </w:t>
      </w:r>
      <w:r>
        <w:rPr>
          <w:i/>
          <w:sz w:val="20"/>
        </w:rPr>
        <w:t xml:space="preserve">Without a Court Order: The Desegregation of Seattle’s Schools </w:t>
      </w:r>
      <w:r>
        <w:rPr>
          <w:sz w:val="20"/>
        </w:rPr>
        <w:t xml:space="preserve">(Seattle: </w:t>
      </w:r>
      <w:proofErr w:type="spellStart"/>
      <w:r>
        <w:rPr>
          <w:sz w:val="20"/>
        </w:rPr>
        <w:t>Madrona</w:t>
      </w:r>
      <w:proofErr w:type="spellEnd"/>
      <w:r>
        <w:rPr>
          <w:sz w:val="20"/>
        </w:rPr>
        <w:t xml:space="preserve">, 1981), 11. </w:t>
      </w:r>
    </w:p>
  </w:footnote>
  <w:footnote w:id="7">
    <w:p w:rsidR="00F04A27" w:rsidRDefault="00B22858">
      <w:pPr>
        <w:spacing w:after="0"/>
      </w:pPr>
      <w:r>
        <w:rPr>
          <w:vertAlign w:val="superscript"/>
        </w:rPr>
        <w:footnoteRef/>
      </w:r>
      <w:r>
        <w:t xml:space="preserve"> </w:t>
      </w:r>
      <w:r>
        <w:rPr>
          <w:sz w:val="20"/>
        </w:rPr>
        <w:t xml:space="preserve">Frank </w:t>
      </w:r>
      <w:proofErr w:type="spellStart"/>
      <w:r>
        <w:rPr>
          <w:sz w:val="20"/>
        </w:rPr>
        <w:t>Hanawalt</w:t>
      </w:r>
      <w:proofErr w:type="spellEnd"/>
      <w:r>
        <w:rPr>
          <w:sz w:val="20"/>
        </w:rPr>
        <w:t xml:space="preserve">, </w:t>
      </w:r>
      <w:proofErr w:type="gramStart"/>
      <w:r>
        <w:rPr>
          <w:i/>
          <w:sz w:val="20"/>
        </w:rPr>
        <w:t>The</w:t>
      </w:r>
      <w:proofErr w:type="gramEnd"/>
      <w:r>
        <w:rPr>
          <w:i/>
          <w:sz w:val="20"/>
        </w:rPr>
        <w:t xml:space="preserve"> History of Desegregation in the Seattle Public Schools, 1954-1981 </w:t>
      </w:r>
      <w:r>
        <w:rPr>
          <w:sz w:val="20"/>
        </w:rPr>
        <w:t>(Seattle Public Schools, 1981), 12.</w:t>
      </w:r>
    </w:p>
  </w:footnote>
  <w:footnote w:id="8">
    <w:p w:rsidR="00F04A27" w:rsidRDefault="00B22858">
      <w:pPr>
        <w:spacing w:after="0"/>
      </w:pPr>
      <w:r>
        <w:rPr>
          <w:vertAlign w:val="superscript"/>
        </w:rPr>
        <w:footnoteRef/>
      </w:r>
      <w:r>
        <w:t xml:space="preserve"> </w:t>
      </w:r>
      <w:r>
        <w:rPr>
          <w:i/>
          <w:sz w:val="20"/>
        </w:rPr>
        <w:t>Ibid</w:t>
      </w:r>
      <w:r>
        <w:rPr>
          <w:sz w:val="20"/>
        </w:rPr>
        <w:t xml:space="preserve"> and </w:t>
      </w:r>
      <w:proofErr w:type="spellStart"/>
      <w:r>
        <w:rPr>
          <w:sz w:val="20"/>
        </w:rPr>
        <w:t>Quintard</w:t>
      </w:r>
      <w:proofErr w:type="spellEnd"/>
      <w:r>
        <w:rPr>
          <w:sz w:val="20"/>
        </w:rPr>
        <w:t xml:space="preserve"> Taylor, “The Civil Rights Movement in the American West: Black Protest in Seattle, 1960-1970,” </w:t>
      </w:r>
      <w:r>
        <w:rPr>
          <w:i/>
          <w:sz w:val="20"/>
        </w:rPr>
        <w:t>Journal of Negro History 80</w:t>
      </w:r>
      <w:r>
        <w:rPr>
          <w:sz w:val="20"/>
        </w:rPr>
        <w:t xml:space="preserve"> (1995):</w:t>
      </w:r>
      <w:r>
        <w:rPr>
          <w:i/>
          <w:sz w:val="20"/>
        </w:rPr>
        <w:t xml:space="preserve"> </w:t>
      </w:r>
      <w:r>
        <w:rPr>
          <w:sz w:val="20"/>
        </w:rPr>
        <w:t>8.</w:t>
      </w:r>
    </w:p>
  </w:footnote>
  <w:footnote w:id="9">
    <w:p w:rsidR="00F04A27" w:rsidRDefault="00B22858">
      <w:pPr>
        <w:spacing w:after="0"/>
      </w:pPr>
      <w:r>
        <w:rPr>
          <w:vertAlign w:val="superscript"/>
        </w:rPr>
        <w:footnoteRef/>
      </w:r>
      <w:r>
        <w:t xml:space="preserve"> </w:t>
      </w:r>
      <w:proofErr w:type="spellStart"/>
      <w:proofErr w:type="gramStart"/>
      <w:r>
        <w:rPr>
          <w:sz w:val="20"/>
        </w:rPr>
        <w:t>Hanawalt</w:t>
      </w:r>
      <w:proofErr w:type="spellEnd"/>
      <w:r>
        <w:rPr>
          <w:sz w:val="20"/>
        </w:rPr>
        <w:t xml:space="preserve">, 13 and </w:t>
      </w:r>
      <w:proofErr w:type="spellStart"/>
      <w:r>
        <w:rPr>
          <w:sz w:val="20"/>
        </w:rPr>
        <w:t>Pieroth</w:t>
      </w:r>
      <w:proofErr w:type="spellEnd"/>
      <w:r>
        <w:rPr>
          <w:sz w:val="20"/>
        </w:rPr>
        <w:t>, 54.</w:t>
      </w:r>
      <w:proofErr w:type="gramEnd"/>
    </w:p>
  </w:footnote>
  <w:footnote w:id="10">
    <w:p w:rsidR="00F04A27" w:rsidRDefault="00B22858">
      <w:pPr>
        <w:spacing w:after="0"/>
      </w:pPr>
      <w:r>
        <w:rPr>
          <w:vertAlign w:val="superscript"/>
        </w:rPr>
        <w:footnoteRef/>
      </w:r>
      <w:r>
        <w:t xml:space="preserve"> </w:t>
      </w:r>
      <w:proofErr w:type="gramStart"/>
      <w:r>
        <w:rPr>
          <w:sz w:val="20"/>
        </w:rPr>
        <w:t>Willie, 174.</w:t>
      </w:r>
      <w:proofErr w:type="gramEnd"/>
    </w:p>
  </w:footnote>
  <w:footnote w:id="11">
    <w:p w:rsidR="00F04A27" w:rsidRDefault="00B22858">
      <w:pPr>
        <w:spacing w:after="0"/>
      </w:pPr>
      <w:r>
        <w:rPr>
          <w:vertAlign w:val="superscript"/>
        </w:rPr>
        <w:footnoteRef/>
      </w:r>
      <w:r>
        <w:rPr>
          <w:sz w:val="20"/>
        </w:rPr>
        <w:t xml:space="preserve"> The Central Area of Seattle historically has been a predominantly African-American section of the city.</w:t>
      </w:r>
    </w:p>
  </w:footnote>
  <w:footnote w:id="12">
    <w:p w:rsidR="00F04A27" w:rsidRDefault="00B22858">
      <w:pPr>
        <w:spacing w:after="0"/>
      </w:pPr>
      <w:r>
        <w:rPr>
          <w:vertAlign w:val="superscript"/>
        </w:rPr>
        <w:footnoteRef/>
      </w:r>
      <w:r>
        <w:t xml:space="preserve"> </w:t>
      </w:r>
      <w:r w:rsidR="008F14BC">
        <w:rPr>
          <w:sz w:val="20"/>
        </w:rPr>
        <w:t>Integration occurring</w:t>
      </w:r>
      <w:r>
        <w:rPr>
          <w:sz w:val="20"/>
        </w:rPr>
        <w:t xml:space="preserve"> outside of the Central Area can arguably be attributed more to the South and Southeast migration in the 1970s of numerous black homeowners and renters into Rainier Valley and a smaller number into Mercer Island, Bellevue, and Snohomish County than to the VRT. </w:t>
      </w:r>
      <w:proofErr w:type="gramStart"/>
      <w:r>
        <w:rPr>
          <w:sz w:val="20"/>
        </w:rPr>
        <w:t>Taylor, 7.</w:t>
      </w:r>
      <w:proofErr w:type="gramEnd"/>
      <w:r>
        <w:t xml:space="preserve">  </w:t>
      </w:r>
    </w:p>
  </w:footnote>
  <w:footnote w:id="13">
    <w:p w:rsidR="00F04A27" w:rsidRDefault="00B22858">
      <w:pPr>
        <w:spacing w:after="0"/>
      </w:pPr>
      <w:r>
        <w:rPr>
          <w:vertAlign w:val="superscript"/>
        </w:rPr>
        <w:footnoteRef/>
      </w:r>
      <w:r>
        <w:t xml:space="preserve"> </w:t>
      </w:r>
      <w:proofErr w:type="gramStart"/>
      <w:r w:rsidR="006B4129">
        <w:rPr>
          <w:sz w:val="20"/>
        </w:rPr>
        <w:t>Taylor</w:t>
      </w:r>
      <w:r>
        <w:rPr>
          <w:sz w:val="20"/>
        </w:rPr>
        <w:t xml:space="preserve">, 19 and </w:t>
      </w:r>
      <w:proofErr w:type="spellStart"/>
      <w:r>
        <w:rPr>
          <w:sz w:val="20"/>
        </w:rPr>
        <w:t>Hanawalt</w:t>
      </w:r>
      <w:proofErr w:type="spellEnd"/>
      <w:r>
        <w:rPr>
          <w:sz w:val="20"/>
        </w:rPr>
        <w:t>, 4.</w:t>
      </w:r>
      <w:proofErr w:type="gramEnd"/>
    </w:p>
  </w:footnote>
  <w:footnote w:id="14">
    <w:p w:rsidR="00F04A27" w:rsidRDefault="00B22858">
      <w:pPr>
        <w:spacing w:after="0"/>
      </w:pPr>
      <w:r>
        <w:rPr>
          <w:vertAlign w:val="superscript"/>
        </w:rPr>
        <w:footnoteRef/>
      </w:r>
      <w:r>
        <w:t xml:space="preserve"> </w:t>
      </w:r>
      <w:r>
        <w:rPr>
          <w:i/>
          <w:sz w:val="20"/>
        </w:rPr>
        <w:t>Ibid</w:t>
      </w:r>
      <w:r>
        <w:rPr>
          <w:sz w:val="20"/>
        </w:rPr>
        <w:t>.</w:t>
      </w:r>
    </w:p>
  </w:footnote>
  <w:footnote w:id="15">
    <w:p w:rsidR="00F04A27" w:rsidRDefault="00B22858">
      <w:pPr>
        <w:spacing w:after="0"/>
      </w:pPr>
      <w:r>
        <w:rPr>
          <w:vertAlign w:val="superscript"/>
        </w:rPr>
        <w:footnoteRef/>
      </w:r>
      <w:r>
        <w:t xml:space="preserve"> </w:t>
      </w:r>
      <w:proofErr w:type="spellStart"/>
      <w:r>
        <w:rPr>
          <w:sz w:val="20"/>
        </w:rPr>
        <w:t>Hanawalt</w:t>
      </w:r>
      <w:proofErr w:type="spellEnd"/>
      <w:r>
        <w:rPr>
          <w:sz w:val="20"/>
        </w:rPr>
        <w:t xml:space="preserve">, 15-32 and </w:t>
      </w:r>
      <w:proofErr w:type="spellStart"/>
      <w:r>
        <w:rPr>
          <w:sz w:val="20"/>
        </w:rPr>
        <w:t>Pieroth</w:t>
      </w:r>
      <w:proofErr w:type="spellEnd"/>
      <w:r>
        <w:rPr>
          <w:sz w:val="20"/>
        </w:rPr>
        <w:t>, 60-61.</w:t>
      </w:r>
    </w:p>
  </w:footnote>
  <w:footnote w:id="16">
    <w:p w:rsidR="00F04A27" w:rsidRDefault="00B22858">
      <w:pPr>
        <w:spacing w:after="0"/>
      </w:pPr>
      <w:r>
        <w:rPr>
          <w:vertAlign w:val="superscript"/>
        </w:rPr>
        <w:footnoteRef/>
      </w:r>
      <w:r>
        <w:t xml:space="preserve"> </w:t>
      </w:r>
      <w:r>
        <w:rPr>
          <w:sz w:val="20"/>
        </w:rPr>
        <w:t xml:space="preserve">Fear of a court-mandated desegregation plan came from the fact that the NAACP filed an official complaint with the Department of Health, Education, and Welfare asking the federal government to investigate segregation in Seattle at the same time that the ACLU of Washington and the Church Council of Greater Seattle both threatened to file a lawsuit if a comprehensive desegregation plan was not adopted immediately and implemented effectively. </w:t>
      </w:r>
      <w:proofErr w:type="spellStart"/>
      <w:proofErr w:type="gramStart"/>
      <w:r>
        <w:rPr>
          <w:sz w:val="20"/>
        </w:rPr>
        <w:t>Hanawalt</w:t>
      </w:r>
      <w:proofErr w:type="spellEnd"/>
      <w:r>
        <w:rPr>
          <w:sz w:val="20"/>
        </w:rPr>
        <w:t>, 32 and Willie, 121.</w:t>
      </w:r>
      <w:proofErr w:type="gramEnd"/>
    </w:p>
  </w:footnote>
  <w:footnote w:id="17">
    <w:p w:rsidR="00F04A27" w:rsidRDefault="00B22858">
      <w:pPr>
        <w:spacing w:after="0"/>
      </w:pPr>
      <w:r>
        <w:rPr>
          <w:vertAlign w:val="superscript"/>
        </w:rPr>
        <w:footnoteRef/>
      </w:r>
      <w:r>
        <w:t xml:space="preserve"> </w:t>
      </w:r>
      <w:proofErr w:type="spellStart"/>
      <w:r>
        <w:rPr>
          <w:sz w:val="20"/>
        </w:rPr>
        <w:t>Hanawalt</w:t>
      </w:r>
      <w:proofErr w:type="spellEnd"/>
      <w:r>
        <w:rPr>
          <w:sz w:val="20"/>
        </w:rPr>
        <w:t>, 35-36.</w:t>
      </w:r>
    </w:p>
  </w:footnote>
  <w:footnote w:id="18">
    <w:p w:rsidR="00F04A27" w:rsidRDefault="00B22858">
      <w:pPr>
        <w:spacing w:after="0"/>
      </w:pPr>
      <w:r>
        <w:rPr>
          <w:vertAlign w:val="superscript"/>
        </w:rPr>
        <w:footnoteRef/>
      </w:r>
      <w:r>
        <w:t xml:space="preserve"> </w:t>
      </w:r>
      <w:r>
        <w:rPr>
          <w:sz w:val="20"/>
        </w:rPr>
        <w:t xml:space="preserve">The “appeal” of certain programs to a particular racial group was based on surveys presented to all parents and students within the district. </w:t>
      </w:r>
      <w:proofErr w:type="gramStart"/>
      <w:r>
        <w:rPr>
          <w:sz w:val="20"/>
        </w:rPr>
        <w:t>Willie, 120.</w:t>
      </w:r>
      <w:proofErr w:type="gramEnd"/>
    </w:p>
  </w:footnote>
  <w:footnote w:id="19">
    <w:p w:rsidR="00F04A27" w:rsidRDefault="00B22858">
      <w:pPr>
        <w:spacing w:after="0"/>
      </w:pPr>
      <w:r>
        <w:rPr>
          <w:vertAlign w:val="superscript"/>
        </w:rPr>
        <w:footnoteRef/>
      </w:r>
      <w:r>
        <w:t xml:space="preserve"> </w:t>
      </w:r>
      <w:r>
        <w:rPr>
          <w:i/>
          <w:sz w:val="20"/>
        </w:rPr>
        <w:t>Ibid</w:t>
      </w:r>
      <w:r>
        <w:rPr>
          <w:sz w:val="20"/>
        </w:rPr>
        <w:t>.</w:t>
      </w:r>
    </w:p>
  </w:footnote>
  <w:footnote w:id="20">
    <w:p w:rsidR="00F04A27" w:rsidRDefault="00B22858">
      <w:pPr>
        <w:spacing w:after="0"/>
      </w:pPr>
      <w:r>
        <w:rPr>
          <w:vertAlign w:val="superscript"/>
        </w:rPr>
        <w:footnoteRef/>
      </w:r>
      <w:r>
        <w:t xml:space="preserve"> </w:t>
      </w:r>
      <w:proofErr w:type="gramStart"/>
      <w:r>
        <w:rPr>
          <w:sz w:val="20"/>
        </w:rPr>
        <w:t xml:space="preserve">“Magnet Gets Going,” </w:t>
      </w:r>
      <w:r>
        <w:rPr>
          <w:i/>
          <w:sz w:val="20"/>
        </w:rPr>
        <w:t>The Cleveland Journal</w:t>
      </w:r>
      <w:r>
        <w:rPr>
          <w:sz w:val="20"/>
        </w:rPr>
        <w:t>, September 29, 1977, pg. 1.</w:t>
      </w:r>
      <w:proofErr w:type="gramEnd"/>
      <w:r>
        <w:rPr>
          <w:sz w:val="20"/>
        </w:rPr>
        <w:t xml:space="preserve"> </w:t>
      </w:r>
    </w:p>
  </w:footnote>
  <w:footnote w:id="21">
    <w:p w:rsidR="00365E7F" w:rsidRDefault="00365E7F" w:rsidP="00365E7F">
      <w:pPr>
        <w:spacing w:after="0"/>
      </w:pPr>
      <w:r>
        <w:rPr>
          <w:vertAlign w:val="superscript"/>
        </w:rPr>
        <w:footnoteRef/>
      </w:r>
      <w:r>
        <w:t xml:space="preserve"> </w:t>
      </w:r>
      <w:proofErr w:type="spellStart"/>
      <w:proofErr w:type="gramStart"/>
      <w:r>
        <w:rPr>
          <w:sz w:val="20"/>
        </w:rPr>
        <w:t>Siqueland</w:t>
      </w:r>
      <w:proofErr w:type="spellEnd"/>
      <w:r>
        <w:rPr>
          <w:sz w:val="20"/>
        </w:rPr>
        <w:t>, 10.</w:t>
      </w:r>
      <w:proofErr w:type="gramEnd"/>
    </w:p>
  </w:footnote>
  <w:footnote w:id="22">
    <w:p w:rsidR="00365E7F" w:rsidRPr="006B4129" w:rsidRDefault="00365E7F" w:rsidP="00365E7F">
      <w:pPr>
        <w:pStyle w:val="FootnoteText"/>
        <w:rPr>
          <w:rFonts w:asciiTheme="majorHAnsi" w:hAnsiTheme="majorHAnsi"/>
          <w:sz w:val="20"/>
          <w:szCs w:val="20"/>
        </w:rPr>
      </w:pPr>
      <w:r w:rsidRPr="006B4129">
        <w:rPr>
          <w:rStyle w:val="FootnoteReference"/>
          <w:rFonts w:asciiTheme="majorHAnsi" w:hAnsiTheme="majorHAnsi"/>
          <w:szCs w:val="20"/>
        </w:rPr>
        <w:footnoteRef/>
      </w:r>
      <w:r w:rsidRPr="006B4129">
        <w:rPr>
          <w:rFonts w:asciiTheme="majorHAnsi" w:hAnsiTheme="majorHAnsi"/>
          <w:szCs w:val="20"/>
        </w:rPr>
        <w:t xml:space="preserve"> </w:t>
      </w:r>
      <w:r w:rsidR="006B4129" w:rsidRPr="006B4129">
        <w:rPr>
          <w:rFonts w:asciiTheme="majorHAnsi" w:hAnsiTheme="majorHAnsi"/>
          <w:sz w:val="20"/>
        </w:rPr>
        <w:t xml:space="preserve">Gary </w:t>
      </w:r>
      <w:proofErr w:type="spellStart"/>
      <w:r w:rsidR="006B4129" w:rsidRPr="006B4129">
        <w:rPr>
          <w:rFonts w:asciiTheme="majorHAnsi" w:hAnsiTheme="majorHAnsi"/>
          <w:sz w:val="20"/>
        </w:rPr>
        <w:t>Orfield</w:t>
      </w:r>
      <w:proofErr w:type="spellEnd"/>
      <w:r w:rsidR="006B4129" w:rsidRPr="006B4129">
        <w:rPr>
          <w:rFonts w:asciiTheme="majorHAnsi" w:hAnsiTheme="majorHAnsi"/>
          <w:sz w:val="20"/>
        </w:rPr>
        <w:t xml:space="preserve"> and Susan E. Eaton, </w:t>
      </w:r>
      <w:r w:rsidR="006B4129" w:rsidRPr="006B4129">
        <w:rPr>
          <w:rFonts w:asciiTheme="majorHAnsi" w:hAnsiTheme="majorHAnsi"/>
          <w:i/>
          <w:sz w:val="20"/>
        </w:rPr>
        <w:t xml:space="preserve">Dismantling Desegregation: The Quiet Reversal of Brown v. Board of Education </w:t>
      </w:r>
      <w:r w:rsidR="006B4129" w:rsidRPr="006B4129">
        <w:rPr>
          <w:rFonts w:asciiTheme="majorHAnsi" w:hAnsiTheme="majorHAnsi"/>
          <w:sz w:val="20"/>
        </w:rPr>
        <w:t>(New York: The New Press, 1996), 57-60.</w:t>
      </w:r>
    </w:p>
  </w:footnote>
  <w:footnote w:id="23">
    <w:p w:rsidR="00F04A27" w:rsidRDefault="00B22858">
      <w:pPr>
        <w:spacing w:after="0"/>
      </w:pPr>
      <w:r>
        <w:rPr>
          <w:vertAlign w:val="superscript"/>
        </w:rPr>
        <w:footnoteRef/>
      </w:r>
      <w:r>
        <w:t xml:space="preserve"> </w:t>
      </w:r>
      <w:proofErr w:type="gramStart"/>
      <w:r w:rsidR="006B4129">
        <w:rPr>
          <w:i/>
          <w:sz w:val="20"/>
        </w:rPr>
        <w:t>Ibid.</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69" w:rsidRDefault="00C61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3D" w:rsidRPr="00037E3D" w:rsidRDefault="00037E3D">
    <w:pPr>
      <w:pStyle w:val="Header"/>
      <w:rPr>
        <w:rFonts w:ascii="Times New Roman" w:hAnsi="Times New Roman" w:cs="Times New Roman"/>
        <w:sz w:val="28"/>
      </w:rPr>
    </w:pPr>
    <w:r>
      <w:rPr>
        <w:rFonts w:ascii="Times New Roman" w:hAnsi="Times New Roman" w:cs="Times New Roman"/>
        <w:sz w:val="28"/>
      </w:rPr>
      <w:t>Public Policy Essay</w:t>
    </w:r>
    <w:r>
      <w:rPr>
        <w:rFonts w:ascii="Times New Roman" w:hAnsi="Times New Roman" w:cs="Times New Roman"/>
        <w:sz w:val="28"/>
      </w:rPr>
      <w:tab/>
    </w:r>
    <w:r>
      <w:rPr>
        <w:rFonts w:ascii="Times New Roman" w:hAnsi="Times New Roman" w:cs="Times New Roman"/>
        <w:sz w:val="28"/>
      </w:rPr>
      <w:tab/>
    </w:r>
    <w:r w:rsidR="00C61169">
      <w:rPr>
        <w:rFonts w:ascii="Times New Roman" w:hAnsi="Times New Roman" w:cs="Times New Roman"/>
        <w:sz w:val="28"/>
      </w:rPr>
      <w:t>&lt;name&gt;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69" w:rsidRDefault="00C61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4A27"/>
    <w:rsid w:val="00037E3D"/>
    <w:rsid w:val="001F057F"/>
    <w:rsid w:val="00255D5E"/>
    <w:rsid w:val="00365E7F"/>
    <w:rsid w:val="005B6B7F"/>
    <w:rsid w:val="006B4129"/>
    <w:rsid w:val="006C50AC"/>
    <w:rsid w:val="007F0C28"/>
    <w:rsid w:val="008F14BC"/>
    <w:rsid w:val="00AC53F4"/>
    <w:rsid w:val="00B22858"/>
    <w:rsid w:val="00BA0AD7"/>
    <w:rsid w:val="00BA7E89"/>
    <w:rsid w:val="00C61169"/>
    <w:rsid w:val="00DE21A9"/>
    <w:rsid w:val="00DE5632"/>
    <w:rsid w:val="00DE5A58"/>
    <w:rsid w:val="00F04A27"/>
    <w:rsid w:val="00F60A11"/>
    <w:rsid w:val="00FD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auto"/>
    </w:pPr>
    <w:rPr>
      <w:rFonts w:ascii="Cambria" w:eastAsia="Cambria" w:hAnsi="Cambria" w:cs="Cambria"/>
      <w:color w:val="000000"/>
      <w:sz w:val="24"/>
    </w:rPr>
  </w:style>
  <w:style w:type="paragraph" w:styleId="Heading1">
    <w:name w:val="heading 1"/>
    <w:basedOn w:val="Normal"/>
    <w:next w:val="Normal"/>
    <w:pPr>
      <w:outlineLvl w:val="0"/>
    </w:pPr>
    <w:rPr>
      <w:rFonts w:ascii="Times New Roman" w:eastAsia="Times New Roman" w:hAnsi="Times New Roman" w:cs="Times New Roman"/>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8F14BC"/>
    <w:pPr>
      <w:tabs>
        <w:tab w:val="center" w:pos="4680"/>
        <w:tab w:val="right" w:pos="9360"/>
      </w:tabs>
      <w:spacing w:after="0"/>
    </w:pPr>
  </w:style>
  <w:style w:type="character" w:customStyle="1" w:styleId="HeaderChar">
    <w:name w:val="Header Char"/>
    <w:basedOn w:val="DefaultParagraphFont"/>
    <w:link w:val="Header"/>
    <w:uiPriority w:val="99"/>
    <w:rsid w:val="008F14BC"/>
    <w:rPr>
      <w:rFonts w:ascii="Cambria" w:eastAsia="Cambria" w:hAnsi="Cambria" w:cs="Cambria"/>
      <w:color w:val="000000"/>
      <w:sz w:val="24"/>
    </w:rPr>
  </w:style>
  <w:style w:type="paragraph" w:styleId="Footer">
    <w:name w:val="footer"/>
    <w:basedOn w:val="Normal"/>
    <w:link w:val="FooterChar"/>
    <w:uiPriority w:val="99"/>
    <w:unhideWhenUsed/>
    <w:rsid w:val="008F14BC"/>
    <w:pPr>
      <w:tabs>
        <w:tab w:val="center" w:pos="4680"/>
        <w:tab w:val="right" w:pos="9360"/>
      </w:tabs>
      <w:spacing w:after="0"/>
    </w:pPr>
  </w:style>
  <w:style w:type="character" w:customStyle="1" w:styleId="FooterChar">
    <w:name w:val="Footer Char"/>
    <w:basedOn w:val="DefaultParagraphFont"/>
    <w:link w:val="Footer"/>
    <w:uiPriority w:val="99"/>
    <w:rsid w:val="008F14BC"/>
    <w:rPr>
      <w:rFonts w:ascii="Cambria" w:eastAsia="Cambria" w:hAnsi="Cambria" w:cs="Cambria"/>
      <w:color w:val="000000"/>
      <w:sz w:val="24"/>
    </w:rPr>
  </w:style>
  <w:style w:type="paragraph" w:styleId="FootnoteText">
    <w:name w:val="footnote text"/>
    <w:basedOn w:val="Normal"/>
    <w:link w:val="FootnoteTextChar"/>
    <w:uiPriority w:val="99"/>
    <w:unhideWhenUsed/>
    <w:rsid w:val="00365E7F"/>
    <w:pPr>
      <w:spacing w:after="0"/>
    </w:pPr>
    <w:rPr>
      <w:rFonts w:asciiTheme="minorHAnsi" w:eastAsiaTheme="minorHAnsi" w:hAnsiTheme="minorHAnsi" w:cstheme="minorBidi"/>
      <w:color w:val="auto"/>
      <w:szCs w:val="24"/>
    </w:rPr>
  </w:style>
  <w:style w:type="character" w:customStyle="1" w:styleId="FootnoteTextChar">
    <w:name w:val="Footnote Text Char"/>
    <w:basedOn w:val="DefaultParagraphFont"/>
    <w:link w:val="FootnoteText"/>
    <w:uiPriority w:val="99"/>
    <w:rsid w:val="00365E7F"/>
    <w:rPr>
      <w:rFonts w:eastAsiaTheme="minorHAnsi"/>
      <w:sz w:val="24"/>
      <w:szCs w:val="24"/>
    </w:rPr>
  </w:style>
  <w:style w:type="character" w:styleId="FootnoteReference">
    <w:name w:val="footnote reference"/>
    <w:basedOn w:val="DefaultParagraphFont"/>
    <w:uiPriority w:val="99"/>
    <w:semiHidden/>
    <w:unhideWhenUsed/>
    <w:rsid w:val="00365E7F"/>
    <w:rPr>
      <w:vertAlign w:val="superscript"/>
    </w:rPr>
  </w:style>
  <w:style w:type="character" w:styleId="CommentReference">
    <w:name w:val="annotation reference"/>
    <w:basedOn w:val="DefaultParagraphFont"/>
    <w:uiPriority w:val="99"/>
    <w:semiHidden/>
    <w:unhideWhenUsed/>
    <w:rsid w:val="005B6B7F"/>
    <w:rPr>
      <w:sz w:val="16"/>
      <w:szCs w:val="16"/>
    </w:rPr>
  </w:style>
  <w:style w:type="paragraph" w:styleId="CommentText">
    <w:name w:val="annotation text"/>
    <w:basedOn w:val="Normal"/>
    <w:link w:val="CommentTextChar"/>
    <w:uiPriority w:val="99"/>
    <w:semiHidden/>
    <w:unhideWhenUsed/>
    <w:rsid w:val="005B6B7F"/>
    <w:rPr>
      <w:sz w:val="20"/>
      <w:szCs w:val="20"/>
    </w:rPr>
  </w:style>
  <w:style w:type="character" w:customStyle="1" w:styleId="CommentTextChar">
    <w:name w:val="Comment Text Char"/>
    <w:basedOn w:val="DefaultParagraphFont"/>
    <w:link w:val="CommentText"/>
    <w:uiPriority w:val="99"/>
    <w:semiHidden/>
    <w:rsid w:val="005B6B7F"/>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5B6B7F"/>
    <w:rPr>
      <w:b/>
      <w:bCs/>
    </w:rPr>
  </w:style>
  <w:style w:type="character" w:customStyle="1" w:styleId="CommentSubjectChar">
    <w:name w:val="Comment Subject Char"/>
    <w:basedOn w:val="CommentTextChar"/>
    <w:link w:val="CommentSubject"/>
    <w:uiPriority w:val="99"/>
    <w:semiHidden/>
    <w:rsid w:val="005B6B7F"/>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5B6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F"/>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auto"/>
    </w:pPr>
    <w:rPr>
      <w:rFonts w:ascii="Cambria" w:eastAsia="Cambria" w:hAnsi="Cambria" w:cs="Cambria"/>
      <w:color w:val="000000"/>
      <w:sz w:val="24"/>
    </w:rPr>
  </w:style>
  <w:style w:type="paragraph" w:styleId="Heading1">
    <w:name w:val="heading 1"/>
    <w:basedOn w:val="Normal"/>
    <w:next w:val="Normal"/>
    <w:pPr>
      <w:outlineLvl w:val="0"/>
    </w:pPr>
    <w:rPr>
      <w:rFonts w:ascii="Times New Roman" w:eastAsia="Times New Roman" w:hAnsi="Times New Roman" w:cs="Times New Roman"/>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8F14BC"/>
    <w:pPr>
      <w:tabs>
        <w:tab w:val="center" w:pos="4680"/>
        <w:tab w:val="right" w:pos="9360"/>
      </w:tabs>
      <w:spacing w:after="0"/>
    </w:pPr>
  </w:style>
  <w:style w:type="character" w:customStyle="1" w:styleId="HeaderChar">
    <w:name w:val="Header Char"/>
    <w:basedOn w:val="DefaultParagraphFont"/>
    <w:link w:val="Header"/>
    <w:uiPriority w:val="99"/>
    <w:rsid w:val="008F14BC"/>
    <w:rPr>
      <w:rFonts w:ascii="Cambria" w:eastAsia="Cambria" w:hAnsi="Cambria" w:cs="Cambria"/>
      <w:color w:val="000000"/>
      <w:sz w:val="24"/>
    </w:rPr>
  </w:style>
  <w:style w:type="paragraph" w:styleId="Footer">
    <w:name w:val="footer"/>
    <w:basedOn w:val="Normal"/>
    <w:link w:val="FooterChar"/>
    <w:uiPriority w:val="99"/>
    <w:unhideWhenUsed/>
    <w:rsid w:val="008F14BC"/>
    <w:pPr>
      <w:tabs>
        <w:tab w:val="center" w:pos="4680"/>
        <w:tab w:val="right" w:pos="9360"/>
      </w:tabs>
      <w:spacing w:after="0"/>
    </w:pPr>
  </w:style>
  <w:style w:type="character" w:customStyle="1" w:styleId="FooterChar">
    <w:name w:val="Footer Char"/>
    <w:basedOn w:val="DefaultParagraphFont"/>
    <w:link w:val="Footer"/>
    <w:uiPriority w:val="99"/>
    <w:rsid w:val="008F14BC"/>
    <w:rPr>
      <w:rFonts w:ascii="Cambria" w:eastAsia="Cambria" w:hAnsi="Cambria" w:cs="Cambria"/>
      <w:color w:val="000000"/>
      <w:sz w:val="24"/>
    </w:rPr>
  </w:style>
  <w:style w:type="paragraph" w:styleId="FootnoteText">
    <w:name w:val="footnote text"/>
    <w:basedOn w:val="Normal"/>
    <w:link w:val="FootnoteTextChar"/>
    <w:uiPriority w:val="99"/>
    <w:unhideWhenUsed/>
    <w:rsid w:val="00365E7F"/>
    <w:pPr>
      <w:spacing w:after="0"/>
    </w:pPr>
    <w:rPr>
      <w:rFonts w:asciiTheme="minorHAnsi" w:eastAsiaTheme="minorHAnsi" w:hAnsiTheme="minorHAnsi" w:cstheme="minorBidi"/>
      <w:color w:val="auto"/>
      <w:szCs w:val="24"/>
    </w:rPr>
  </w:style>
  <w:style w:type="character" w:customStyle="1" w:styleId="FootnoteTextChar">
    <w:name w:val="Footnote Text Char"/>
    <w:basedOn w:val="DefaultParagraphFont"/>
    <w:link w:val="FootnoteText"/>
    <w:uiPriority w:val="99"/>
    <w:rsid w:val="00365E7F"/>
    <w:rPr>
      <w:rFonts w:eastAsiaTheme="minorHAnsi"/>
      <w:sz w:val="24"/>
      <w:szCs w:val="24"/>
    </w:rPr>
  </w:style>
  <w:style w:type="character" w:styleId="FootnoteReference">
    <w:name w:val="footnote reference"/>
    <w:basedOn w:val="DefaultParagraphFont"/>
    <w:uiPriority w:val="99"/>
    <w:semiHidden/>
    <w:unhideWhenUsed/>
    <w:rsid w:val="00365E7F"/>
    <w:rPr>
      <w:vertAlign w:val="superscript"/>
    </w:rPr>
  </w:style>
  <w:style w:type="character" w:styleId="CommentReference">
    <w:name w:val="annotation reference"/>
    <w:basedOn w:val="DefaultParagraphFont"/>
    <w:uiPriority w:val="99"/>
    <w:semiHidden/>
    <w:unhideWhenUsed/>
    <w:rsid w:val="005B6B7F"/>
    <w:rPr>
      <w:sz w:val="16"/>
      <w:szCs w:val="16"/>
    </w:rPr>
  </w:style>
  <w:style w:type="paragraph" w:styleId="CommentText">
    <w:name w:val="annotation text"/>
    <w:basedOn w:val="Normal"/>
    <w:link w:val="CommentTextChar"/>
    <w:uiPriority w:val="99"/>
    <w:semiHidden/>
    <w:unhideWhenUsed/>
    <w:rsid w:val="005B6B7F"/>
    <w:rPr>
      <w:sz w:val="20"/>
      <w:szCs w:val="20"/>
    </w:rPr>
  </w:style>
  <w:style w:type="character" w:customStyle="1" w:styleId="CommentTextChar">
    <w:name w:val="Comment Text Char"/>
    <w:basedOn w:val="DefaultParagraphFont"/>
    <w:link w:val="CommentText"/>
    <w:uiPriority w:val="99"/>
    <w:semiHidden/>
    <w:rsid w:val="005B6B7F"/>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5B6B7F"/>
    <w:rPr>
      <w:b/>
      <w:bCs/>
    </w:rPr>
  </w:style>
  <w:style w:type="character" w:customStyle="1" w:styleId="CommentSubjectChar">
    <w:name w:val="Comment Subject Char"/>
    <w:basedOn w:val="CommentTextChar"/>
    <w:link w:val="CommentSubject"/>
    <w:uiPriority w:val="99"/>
    <w:semiHidden/>
    <w:rsid w:val="005B6B7F"/>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5B6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F"/>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F6FF-C766-465F-8902-0E74D113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PublicPolicyEssay-DRAFT-1-19-14.docx</vt:lpstr>
    </vt:vector>
  </TitlesOfParts>
  <Company>The Evergreen State College</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PublicPolicyEssay-DRAFT-1-19-14.docx</dc:title>
  <dc:creator>Fett</dc:creator>
  <cp:lastModifiedBy>Gibbons, Randee</cp:lastModifiedBy>
  <cp:revision>2</cp:revision>
  <dcterms:created xsi:type="dcterms:W3CDTF">2015-01-07T23:50:00Z</dcterms:created>
  <dcterms:modified xsi:type="dcterms:W3CDTF">2015-01-07T23:50:00Z</dcterms:modified>
</cp:coreProperties>
</file>