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93" w:rsidRPr="00C30268" w:rsidRDefault="00C30268" w:rsidP="00C30268">
      <w:pPr>
        <w:jc w:val="center"/>
        <w:rPr>
          <w:b/>
          <w:sz w:val="24"/>
          <w:szCs w:val="24"/>
          <w:u w:val="single"/>
        </w:rPr>
      </w:pPr>
      <w:bookmarkStart w:id="0" w:name="_GoBack"/>
      <w:bookmarkEnd w:id="0"/>
      <w:r w:rsidRPr="00C30268">
        <w:rPr>
          <w:b/>
          <w:sz w:val="24"/>
          <w:szCs w:val="24"/>
          <w:u w:val="single"/>
        </w:rPr>
        <w:t>Example MPA Capstone Presentations (PNAPP) 2016</w:t>
      </w:r>
    </w:p>
    <w:p w:rsidR="005A0D8C" w:rsidRPr="005A0D8C" w:rsidRDefault="005A0D8C" w:rsidP="005A0D8C">
      <w:pPr>
        <w:rPr>
          <w:b/>
        </w:rPr>
      </w:pPr>
      <w:r w:rsidRPr="005A0D8C">
        <w:rPr>
          <w:b/>
        </w:rPr>
        <w:t>Kandi Bauman, Rebecca Orbeck</w:t>
      </w:r>
    </w:p>
    <w:p w:rsidR="005A0D8C" w:rsidRDefault="005A0D8C" w:rsidP="005A0D8C">
      <w:pPr>
        <w:rPr>
          <w:b/>
        </w:rPr>
      </w:pPr>
      <w:r w:rsidRPr="005A0D8C">
        <w:rPr>
          <w:b/>
        </w:rPr>
        <w:t>Title: Washington State Student Fees Project</w:t>
      </w:r>
    </w:p>
    <w:p w:rsidR="005A0D8C" w:rsidRPr="005A0D8C" w:rsidRDefault="005A0D8C" w:rsidP="005A0D8C">
      <w:pPr>
        <w:rPr>
          <w:b/>
        </w:rPr>
      </w:pPr>
      <w:r>
        <w:rPr>
          <w:b/>
        </w:rPr>
        <w:t xml:space="preserve">Video: </w:t>
      </w:r>
      <w:hyperlink r:id="rId7" w:history="1">
        <w:r w:rsidRPr="005A0D8C">
          <w:rPr>
            <w:rStyle w:val="Hyperlink"/>
            <w:b/>
          </w:rPr>
          <w:t>https://www.youtube.com/watch?v=kan2qTere_k&amp;feature=youtu.be</w:t>
        </w:r>
      </w:hyperlink>
      <w:r>
        <w:rPr>
          <w:b/>
        </w:rPr>
        <w:t xml:space="preserve"> </w:t>
      </w:r>
    </w:p>
    <w:p w:rsidR="005A0D8C" w:rsidRDefault="005A0D8C" w:rsidP="005A0D8C">
      <w:r>
        <w:t xml:space="preserve">Services and Activities (S&amp;A) Fees are an important source of revenue for Washington State's 34 community and technical colleges. S&amp;A Fees support vital campus services and programs, but unlike other college revenues, S&amp;A Fees are allocated, governed, and approved by students. The Washington State Student Fees Project is about helping student leaders, college administrators, and policy makers to understand fee expenditure data, context, and trends. The Project centralizes legal, legislative, and financial data resources into a single website and features a set of data dashboards that make it easy for users to identify, compare, and explore trends within statewide college financial data. This presentation will cover the highlights of the website content, basics of the data dashboards, and our goals to keep college S&amp;A </w:t>
      </w:r>
      <w:proofErr w:type="gramStart"/>
      <w:r>
        <w:t>Fees</w:t>
      </w:r>
      <w:proofErr w:type="gramEnd"/>
      <w:r>
        <w:t xml:space="preserve"> data accessible, relevant, and student centered.</w:t>
      </w:r>
    </w:p>
    <w:p w:rsidR="005A0D8C" w:rsidRPr="005A0D8C" w:rsidRDefault="005A0D8C" w:rsidP="005A0D8C">
      <w:pPr>
        <w:rPr>
          <w:b/>
        </w:rPr>
      </w:pPr>
      <w:r w:rsidRPr="005A0D8C">
        <w:rPr>
          <w:b/>
        </w:rPr>
        <w:t>Korbett Mosesly</w:t>
      </w:r>
    </w:p>
    <w:p w:rsidR="005A0D8C" w:rsidRDefault="005A0D8C" w:rsidP="005A0D8C">
      <w:pPr>
        <w:rPr>
          <w:b/>
        </w:rPr>
      </w:pPr>
      <w:r w:rsidRPr="005A0D8C">
        <w:rPr>
          <w:b/>
        </w:rPr>
        <w:t>Title: Good jobs &amp; Local Hires</w:t>
      </w:r>
    </w:p>
    <w:p w:rsidR="005A0D8C" w:rsidRPr="005A0D8C" w:rsidRDefault="005A0D8C" w:rsidP="005A0D8C">
      <w:pPr>
        <w:rPr>
          <w:b/>
        </w:rPr>
      </w:pPr>
      <w:r>
        <w:rPr>
          <w:b/>
        </w:rPr>
        <w:t xml:space="preserve">Video: </w:t>
      </w:r>
      <w:hyperlink r:id="rId8" w:history="1">
        <w:r w:rsidRPr="005A0D8C">
          <w:rPr>
            <w:rStyle w:val="Hyperlink"/>
            <w:b/>
          </w:rPr>
          <w:t>https://www.youtube.com/watch?v=MYpKL48aqik&amp;feature=youtu.be</w:t>
        </w:r>
      </w:hyperlink>
      <w:r>
        <w:rPr>
          <w:b/>
        </w:rPr>
        <w:t xml:space="preserve"> </w:t>
      </w:r>
    </w:p>
    <w:p w:rsidR="005A0D8C" w:rsidRPr="005A0D8C" w:rsidRDefault="005A0D8C" w:rsidP="005A0D8C">
      <w:r>
        <w:t>One of the biggest issues facing the construction industry in Washington State is the lack of enough skilled workers. To fill these family wage jobs it will require several trades to increase recruitment into their apprenticeship programs. Graduates of these programs will earn an average of $58,000/year plus benefits. This project uses a multifaceted approach to increase access to career opportunities to residents in neighborhoods with persistent poverty.</w:t>
      </w:r>
    </w:p>
    <w:p w:rsidR="00C30268" w:rsidRPr="00C30268" w:rsidRDefault="00C30268" w:rsidP="00C30268">
      <w:pPr>
        <w:rPr>
          <w:b/>
        </w:rPr>
      </w:pPr>
      <w:r w:rsidRPr="00C30268">
        <w:rPr>
          <w:b/>
        </w:rPr>
        <w:t>Brittany Clark, Amanda DeShazo, Rachel Revisky</w:t>
      </w:r>
      <w:r w:rsidR="00A73B4C">
        <w:rPr>
          <w:b/>
        </w:rPr>
        <w:t xml:space="preserve">  </w:t>
      </w:r>
    </w:p>
    <w:p w:rsidR="00C30268" w:rsidRDefault="00C30268" w:rsidP="00C30268">
      <w:pPr>
        <w:rPr>
          <w:b/>
        </w:rPr>
      </w:pPr>
      <w:r w:rsidRPr="00C30268">
        <w:rPr>
          <w:b/>
        </w:rPr>
        <w:t>Title: Workplace Strategies: Millennials in the Workplace</w:t>
      </w:r>
    </w:p>
    <w:p w:rsidR="00A73B4C" w:rsidRPr="00C30268" w:rsidRDefault="00A73B4C" w:rsidP="00C30268">
      <w:pPr>
        <w:rPr>
          <w:b/>
        </w:rPr>
      </w:pPr>
      <w:r>
        <w:rPr>
          <w:b/>
        </w:rPr>
        <w:t xml:space="preserve">Video: </w:t>
      </w:r>
      <w:hyperlink r:id="rId9" w:history="1">
        <w:r w:rsidRPr="00A73B4C">
          <w:rPr>
            <w:rStyle w:val="Hyperlink"/>
            <w:b/>
          </w:rPr>
          <w:t>https://www.youtube.com/watch?v=Zuu0m5wvEzI&amp;feature=youtu.be</w:t>
        </w:r>
      </w:hyperlink>
    </w:p>
    <w:p w:rsidR="00C30268" w:rsidRDefault="00C30268" w:rsidP="00C30268">
      <w:r>
        <w:t xml:space="preserve">Workplace Strategies: Millennials in the Workplace examines what Millennials desire in a workplace and how those desires can be brought into the public sector. Washington State government’s work environment has remained unchanged for over 50 years and continues to fall behind private agencies in their attempt to attract and retain young professionals. Our project provides a glimpse into </w:t>
      </w:r>
      <w:proofErr w:type="gramStart"/>
      <w:r>
        <w:t>whom</w:t>
      </w:r>
      <w:proofErr w:type="gramEnd"/>
      <w:r>
        <w:t xml:space="preserve"> the Millennials are, what attracts and retains them, and how government agencies can use this information to adapt to current demands.</w:t>
      </w:r>
    </w:p>
    <w:p w:rsidR="00A943F5" w:rsidRDefault="00A943F5" w:rsidP="00C30268">
      <w:pPr>
        <w:rPr>
          <w:b/>
        </w:rPr>
      </w:pPr>
    </w:p>
    <w:p w:rsidR="00A943F5" w:rsidRDefault="00A943F5" w:rsidP="00C30268">
      <w:pPr>
        <w:rPr>
          <w:b/>
        </w:rPr>
      </w:pPr>
    </w:p>
    <w:p w:rsidR="00C30268" w:rsidRPr="00C30268" w:rsidRDefault="00C30268" w:rsidP="00C30268">
      <w:pPr>
        <w:rPr>
          <w:b/>
        </w:rPr>
      </w:pPr>
      <w:r w:rsidRPr="00C30268">
        <w:rPr>
          <w:b/>
        </w:rPr>
        <w:lastRenderedPageBreak/>
        <w:t>Tyrone Newton</w:t>
      </w:r>
    </w:p>
    <w:p w:rsidR="00C30268" w:rsidRDefault="00C30268" w:rsidP="00C30268">
      <w:pPr>
        <w:rPr>
          <w:b/>
        </w:rPr>
      </w:pPr>
      <w:r w:rsidRPr="00C30268">
        <w:rPr>
          <w:b/>
        </w:rPr>
        <w:t>Title: Student Veterans' Perceptions of Academic Advising Services</w:t>
      </w:r>
    </w:p>
    <w:p w:rsidR="00A73B4C" w:rsidRPr="00C30268" w:rsidRDefault="00A73B4C" w:rsidP="00C30268">
      <w:pPr>
        <w:rPr>
          <w:b/>
        </w:rPr>
      </w:pPr>
      <w:r>
        <w:rPr>
          <w:b/>
        </w:rPr>
        <w:t xml:space="preserve">Video: </w:t>
      </w:r>
      <w:hyperlink r:id="rId10" w:history="1">
        <w:r w:rsidRPr="00A73B4C">
          <w:rPr>
            <w:rStyle w:val="Hyperlink"/>
            <w:b/>
          </w:rPr>
          <w:t>https://www.youtube.com/watch?v=-nAA-kheUFY&amp;feature=youtu.be</w:t>
        </w:r>
      </w:hyperlink>
      <w:r>
        <w:rPr>
          <w:b/>
        </w:rPr>
        <w:t xml:space="preserve"> </w:t>
      </w:r>
    </w:p>
    <w:p w:rsidR="00C30268" w:rsidRDefault="00C30268" w:rsidP="00C30268">
      <w:r>
        <w:t>Retention of student veterans is important due to just under half of those that begin higher education programs will not complete a post-secondary degree. Academic advising plays an important role in aiding in the retention of student veterans in higher education programs. Accordingly, the goal of this case study was to identify student veterans who accessed advising services at The Evergreen State College during the winter of 2016 to the end of week four of spring quarter and access their level of satisfaction with the information provided by academic advisors on an assortment of concerns.</w:t>
      </w:r>
    </w:p>
    <w:p w:rsidR="00C30268" w:rsidRPr="00C30268" w:rsidRDefault="00C30268" w:rsidP="00C30268">
      <w:pPr>
        <w:rPr>
          <w:b/>
        </w:rPr>
      </w:pPr>
      <w:r w:rsidRPr="00C30268">
        <w:rPr>
          <w:b/>
        </w:rPr>
        <w:t>Tara Larson, Austin Koller, Rebecca Lewis</w:t>
      </w:r>
    </w:p>
    <w:p w:rsidR="00C30268" w:rsidRDefault="00C30268" w:rsidP="00C30268">
      <w:pPr>
        <w:rPr>
          <w:b/>
        </w:rPr>
      </w:pPr>
      <w:r w:rsidRPr="00C30268">
        <w:rPr>
          <w:b/>
        </w:rPr>
        <w:t>Title: King County Land Use Planning:  Bridging the Urban – Rural Divide</w:t>
      </w:r>
    </w:p>
    <w:p w:rsidR="00A73B4C" w:rsidRPr="00C30268" w:rsidRDefault="00A73B4C" w:rsidP="00C30268">
      <w:pPr>
        <w:rPr>
          <w:b/>
        </w:rPr>
      </w:pPr>
      <w:r>
        <w:rPr>
          <w:b/>
        </w:rPr>
        <w:t xml:space="preserve">Video: </w:t>
      </w:r>
      <w:hyperlink r:id="rId11" w:history="1">
        <w:r w:rsidRPr="00A73B4C">
          <w:rPr>
            <w:rStyle w:val="Hyperlink"/>
            <w:b/>
          </w:rPr>
          <w:t>https://www.youtube.com/watch?v=0bkIb22S_vs&amp;feature=youtu.be</w:t>
        </w:r>
      </w:hyperlink>
      <w:r>
        <w:rPr>
          <w:b/>
        </w:rPr>
        <w:t xml:space="preserve"> </w:t>
      </w:r>
    </w:p>
    <w:p w:rsidR="00A73B4C" w:rsidRPr="00A943F5" w:rsidRDefault="00C30268" w:rsidP="00D5656A">
      <w:r>
        <w:t xml:space="preserve">Conflict over land use is an inherent characteristic of urban development in modern society, especially in places where urban areas have expanded into rural areas.  This sometimes results in strained relations between urban and rural communities and decision-makers due to differing needs and expectations.  Additionally, areas known as “fringe” areas have emerged, where urban and rural communities come in close contact, and as a result can be the “front lines” of these issues.  King County, Washington is one example of a jurisdiction which has experienced such strained relations in the not-so-distant past.  This capstone project uses literature review and case study to identify some of the reasons why residents in the rural eastern portion of the county proposed an initiative to secede and form “Cedar County,” and how urban and rural communities can work together to avoid such extreme outcomes in the future.  </w:t>
      </w:r>
    </w:p>
    <w:p w:rsidR="00D5656A" w:rsidRPr="00D5656A" w:rsidRDefault="00D5656A" w:rsidP="00D5656A">
      <w:pPr>
        <w:rPr>
          <w:b/>
        </w:rPr>
      </w:pPr>
      <w:r w:rsidRPr="00D5656A">
        <w:rPr>
          <w:b/>
        </w:rPr>
        <w:t>Jamie Daniel, Yacob Zekarias</w:t>
      </w:r>
      <w:r w:rsidRPr="00D5656A">
        <w:rPr>
          <w:b/>
        </w:rPr>
        <w:tab/>
      </w:r>
    </w:p>
    <w:p w:rsidR="00D5656A" w:rsidRDefault="00D5656A" w:rsidP="00D5656A">
      <w:pPr>
        <w:rPr>
          <w:b/>
        </w:rPr>
      </w:pPr>
      <w:r w:rsidRPr="00D5656A">
        <w:rPr>
          <w:b/>
        </w:rPr>
        <w:t>Title: Lean Implementation Tools for ESD</w:t>
      </w:r>
    </w:p>
    <w:p w:rsidR="00A73B4C" w:rsidRPr="00D5656A" w:rsidRDefault="00A73B4C" w:rsidP="00D5656A">
      <w:pPr>
        <w:rPr>
          <w:b/>
        </w:rPr>
      </w:pPr>
      <w:r>
        <w:rPr>
          <w:b/>
        </w:rPr>
        <w:t xml:space="preserve">Video: </w:t>
      </w:r>
      <w:hyperlink r:id="rId12" w:history="1">
        <w:r w:rsidRPr="00A73B4C">
          <w:rPr>
            <w:rStyle w:val="Hyperlink"/>
            <w:b/>
          </w:rPr>
          <w:t>https://www.youtube.com/watch?v=nL72upjrGqc&amp;feature=youtu.be</w:t>
        </w:r>
      </w:hyperlink>
      <w:r>
        <w:rPr>
          <w:b/>
        </w:rPr>
        <w:t xml:space="preserve"> </w:t>
      </w:r>
    </w:p>
    <w:p w:rsidR="00D5656A" w:rsidRDefault="00D5656A" w:rsidP="00D5656A">
      <w:r>
        <w:t>In January 2016 Jamie and Yacob surveyed employees with the Washington State Employment Security Department to determine if employees believed that critical success factors for lean identified in our research were important and to ascertain their perception of these critical success factors being in use at ESD. The survey and focus group data we collected identified opportunities for improvement in two areas of lean implementation at ESD, management commitment and involvement and customer focus. Our capstone project created an executive level brochure with tips for how ESD could understand what it would mean to be a more customer focused organization and recommendations for management on how to boost their leadership presence and assess their individual commitment to lean.</w:t>
      </w:r>
    </w:p>
    <w:p w:rsidR="00A943F5" w:rsidRDefault="00A943F5" w:rsidP="00751C91">
      <w:pPr>
        <w:rPr>
          <w:b/>
        </w:rPr>
      </w:pPr>
    </w:p>
    <w:p w:rsidR="00751C91" w:rsidRPr="00751C91" w:rsidRDefault="00751C91" w:rsidP="00751C91">
      <w:pPr>
        <w:rPr>
          <w:b/>
        </w:rPr>
      </w:pPr>
      <w:r>
        <w:rPr>
          <w:b/>
        </w:rPr>
        <w:lastRenderedPageBreak/>
        <w:t>Jennifer Inman, KC Wilkerson</w:t>
      </w:r>
    </w:p>
    <w:p w:rsidR="00751C91" w:rsidRDefault="00751C91" w:rsidP="00751C91">
      <w:pPr>
        <w:rPr>
          <w:b/>
        </w:rPr>
      </w:pPr>
      <w:r w:rsidRPr="00751C91">
        <w:rPr>
          <w:b/>
        </w:rPr>
        <w:t>Title: Creating Community at SEM II</w:t>
      </w:r>
    </w:p>
    <w:p w:rsidR="00A73B4C" w:rsidRPr="00751C91" w:rsidRDefault="00A73B4C" w:rsidP="00751C91">
      <w:pPr>
        <w:rPr>
          <w:b/>
        </w:rPr>
      </w:pPr>
      <w:r>
        <w:rPr>
          <w:b/>
        </w:rPr>
        <w:t xml:space="preserve">Video: </w:t>
      </w:r>
      <w:hyperlink r:id="rId13" w:history="1">
        <w:r w:rsidRPr="00A73B4C">
          <w:rPr>
            <w:rStyle w:val="Hyperlink"/>
            <w:b/>
          </w:rPr>
          <w:t>https://www.youtube.com/watch?v=l53qq12x12A&amp;feature=youtu.be</w:t>
        </w:r>
      </w:hyperlink>
      <w:r>
        <w:rPr>
          <w:b/>
        </w:rPr>
        <w:t xml:space="preserve"> </w:t>
      </w:r>
    </w:p>
    <w:p w:rsidR="00751C91" w:rsidRDefault="00751C91" w:rsidP="00751C91">
      <w:r>
        <w:t>“The Seminar II building (SEM II) was designed to be, among other things, a dynamic space where the possibilities of ‘chance encounters’ happen often because of the necessary movement between wings or ‘clusters” (King 2016).  As students at The Evergreen State College (TESC), we observed the outdoor public spaces of SEM II create a feeling of separateness and disconnection from others, and from the college as a whole. Using design thinking principles, such as human-centeredness, collaboration, and connectedness, our Capstone project focused on collecting data from SEM II users to determine if other users shared this observation, and if so, what changes they felt were needed. The data analysis confirmed our observations, and we used design thinking principles to propose building enhancements for the outdoor public spaces of SEM II. By partnering with the TESC Facilities Department, and presenting an application to the Campus Land Use Committee, we aimed to convince the College that investing in the space will lead to a greater sense of community, a greater return to the College, as well as a student and employee body that want to stay, want to return, and want to give back to TESC.</w:t>
      </w:r>
    </w:p>
    <w:p w:rsidR="00D5656A" w:rsidRPr="00D5656A" w:rsidRDefault="00D5656A" w:rsidP="00D5656A">
      <w:pPr>
        <w:rPr>
          <w:b/>
        </w:rPr>
      </w:pPr>
      <w:r w:rsidRPr="00D5656A">
        <w:rPr>
          <w:b/>
        </w:rPr>
        <w:t>Katherine Hoffman</w:t>
      </w:r>
    </w:p>
    <w:p w:rsidR="00D5656A" w:rsidRDefault="00D5656A" w:rsidP="00D5656A">
      <w:pPr>
        <w:rPr>
          <w:b/>
        </w:rPr>
      </w:pPr>
      <w:r w:rsidRPr="00D5656A">
        <w:rPr>
          <w:b/>
        </w:rPr>
        <w:t xml:space="preserve">Title: Washington Indigent Defense Reform </w:t>
      </w:r>
    </w:p>
    <w:p w:rsidR="00A73B4C" w:rsidRPr="00D5656A" w:rsidRDefault="00A73B4C" w:rsidP="00D5656A">
      <w:pPr>
        <w:rPr>
          <w:b/>
        </w:rPr>
      </w:pPr>
      <w:r>
        <w:rPr>
          <w:b/>
        </w:rPr>
        <w:t xml:space="preserve">Video: </w:t>
      </w:r>
      <w:hyperlink r:id="rId14" w:history="1">
        <w:r w:rsidRPr="00A73B4C">
          <w:rPr>
            <w:rStyle w:val="Hyperlink"/>
            <w:b/>
          </w:rPr>
          <w:t>https://www.youtube.com/watch?v=YK5AaiKML-c&amp;feature=youtu.be</w:t>
        </w:r>
      </w:hyperlink>
    </w:p>
    <w:p w:rsidR="00D5656A" w:rsidRDefault="00D5656A" w:rsidP="00D5656A">
      <w:r>
        <w:t>The Washington Supreme Court adopted the Standards for Indigent Defense in June 2012, defining the basic requirements attorneys must meet to ensure “quality” representation in public defense cases. Washington municipalities were required to implement the Standards on January 1, 2015. The unfunded, mandated restructuring of public defense delivery systems resulted in significant impact to Washington municipalities. This presentation describes the observations of a case study examining those impacts, providing theoretical analysis of judicial rule making and municipality response to implementation of the Standards, and concluding by offering recommendations designed to promote coevolution and unification within the complex Washington municipal court system.</w:t>
      </w:r>
    </w:p>
    <w:p w:rsidR="00D063E3" w:rsidRPr="00D063E3" w:rsidRDefault="00D063E3" w:rsidP="00D063E3">
      <w:pPr>
        <w:rPr>
          <w:b/>
        </w:rPr>
      </w:pPr>
      <w:r w:rsidRPr="00D063E3">
        <w:rPr>
          <w:b/>
        </w:rPr>
        <w:t>Danielle Madrone</w:t>
      </w:r>
    </w:p>
    <w:p w:rsidR="00D063E3" w:rsidRDefault="00D063E3" w:rsidP="00D063E3">
      <w:pPr>
        <w:rPr>
          <w:b/>
        </w:rPr>
      </w:pPr>
      <w:r w:rsidRPr="00D063E3">
        <w:rPr>
          <w:b/>
        </w:rPr>
        <w:t>Title: Complete Streets: Using Multimodal Concurrency as a Tool to Build Highly Mobile Cities</w:t>
      </w:r>
    </w:p>
    <w:p w:rsidR="00A73B4C" w:rsidRPr="00D063E3" w:rsidRDefault="00A73B4C" w:rsidP="00D063E3">
      <w:pPr>
        <w:rPr>
          <w:b/>
        </w:rPr>
      </w:pPr>
      <w:r>
        <w:rPr>
          <w:b/>
        </w:rPr>
        <w:t xml:space="preserve">Video: </w:t>
      </w:r>
      <w:hyperlink r:id="rId15" w:history="1">
        <w:r w:rsidRPr="00A73B4C">
          <w:rPr>
            <w:rStyle w:val="Hyperlink"/>
            <w:b/>
          </w:rPr>
          <w:t>https://www.youtube.com/watch?v=O1Mo3Iuiv2Y&amp;feature=youtu.be</w:t>
        </w:r>
      </w:hyperlink>
      <w:r>
        <w:rPr>
          <w:b/>
        </w:rPr>
        <w:t xml:space="preserve"> </w:t>
      </w:r>
    </w:p>
    <w:p w:rsidR="00D063E3" w:rsidRDefault="00D063E3" w:rsidP="00D063E3">
      <w:r>
        <w:t xml:space="preserve">Complete Streets are streets that are designed for all users, which include sidewalks that are accessible for all abilities, safe passage for bicycles, routes that allow for reliable transit, and accommodations for motorists. The Growth Management Act of Washington allows a funding mechanism for multimodal transportation infrastructure through development impact fees. Under this legislation, transportation concurrency requires that public infrastructure for roads and streets keep pace with new development, </w:t>
      </w:r>
      <w:r>
        <w:lastRenderedPageBreak/>
        <w:t>though most cities only measure the needs of automobiles. Incorporating multimodal concurrency standards, including pathway connectivity, traveler perception, and measuring people, not cars, enables the use of development impact fees to fund multimodal transportation projects.</w:t>
      </w:r>
    </w:p>
    <w:p w:rsidR="00D063E3" w:rsidRPr="00D063E3" w:rsidRDefault="00D063E3" w:rsidP="00D063E3">
      <w:pPr>
        <w:rPr>
          <w:b/>
        </w:rPr>
      </w:pPr>
      <w:r w:rsidRPr="00D063E3">
        <w:rPr>
          <w:b/>
        </w:rPr>
        <w:t>Emily Persky</w:t>
      </w:r>
    </w:p>
    <w:p w:rsidR="00D063E3" w:rsidRDefault="00D063E3" w:rsidP="00D063E3">
      <w:pPr>
        <w:rPr>
          <w:b/>
        </w:rPr>
      </w:pPr>
      <w:r w:rsidRPr="00D063E3">
        <w:rPr>
          <w:b/>
        </w:rPr>
        <w:t>Title: Returning adult students</w:t>
      </w:r>
    </w:p>
    <w:p w:rsidR="00A73B4C" w:rsidRPr="00D063E3" w:rsidRDefault="00A73B4C" w:rsidP="00D063E3">
      <w:pPr>
        <w:rPr>
          <w:b/>
        </w:rPr>
      </w:pPr>
      <w:r>
        <w:rPr>
          <w:b/>
        </w:rPr>
        <w:t xml:space="preserve">Video: </w:t>
      </w:r>
      <w:hyperlink r:id="rId16" w:history="1">
        <w:r w:rsidRPr="00A73B4C">
          <w:rPr>
            <w:rStyle w:val="Hyperlink"/>
            <w:b/>
          </w:rPr>
          <w:t>https://www.youtube.com/watch?v=ZGHbsOZ4eDc&amp;feature=youtu.be</w:t>
        </w:r>
      </w:hyperlink>
      <w:r>
        <w:rPr>
          <w:b/>
        </w:rPr>
        <w:t xml:space="preserve"> </w:t>
      </w:r>
    </w:p>
    <w:p w:rsidR="00D063E3" w:rsidRDefault="00D063E3" w:rsidP="00D063E3">
      <w:r>
        <w:t>In order for Washingtonians to qualify for living-wage jobs in their home state, about 500,000 more adults will need to complete a credential by 2023. In 2013, about 700,000 Washington adults had earned some college credit, but hadn't completed a degree. Policies to increase educational attainment in our state should target this population, which is made up of Washingtonians who are less likely to earn a living wage while still bearing the burden of student debt. This project analyzes student data for returning adults at Washington's public community and technical colleges to learn more about this population and their academic outcomes.</w:t>
      </w:r>
    </w:p>
    <w:sectPr w:rsidR="00D063E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62" w:rsidRDefault="00824D62" w:rsidP="00A943F5">
      <w:pPr>
        <w:spacing w:after="0" w:line="240" w:lineRule="auto"/>
      </w:pPr>
      <w:r>
        <w:separator/>
      </w:r>
    </w:p>
  </w:endnote>
  <w:endnote w:type="continuationSeparator" w:id="0">
    <w:p w:rsidR="00824D62" w:rsidRDefault="00824D62" w:rsidP="00A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5310"/>
      <w:docPartObj>
        <w:docPartGallery w:val="Page Numbers (Bottom of Page)"/>
        <w:docPartUnique/>
      </w:docPartObj>
    </w:sdtPr>
    <w:sdtEndPr>
      <w:rPr>
        <w:noProof/>
      </w:rPr>
    </w:sdtEndPr>
    <w:sdtContent>
      <w:p w:rsidR="00A943F5" w:rsidRDefault="00A943F5">
        <w:pPr>
          <w:pStyle w:val="Footer"/>
          <w:jc w:val="right"/>
        </w:pPr>
        <w:r>
          <w:fldChar w:fldCharType="begin"/>
        </w:r>
        <w:r>
          <w:instrText xml:space="preserve"> PAGE   \* MERGEFORMAT </w:instrText>
        </w:r>
        <w:r>
          <w:fldChar w:fldCharType="separate"/>
        </w:r>
        <w:r w:rsidR="000D25BC">
          <w:rPr>
            <w:noProof/>
          </w:rPr>
          <w:t>1</w:t>
        </w:r>
        <w:r>
          <w:rPr>
            <w:noProof/>
          </w:rPr>
          <w:fldChar w:fldCharType="end"/>
        </w:r>
      </w:p>
    </w:sdtContent>
  </w:sdt>
  <w:p w:rsidR="00A943F5" w:rsidRDefault="00A9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62" w:rsidRDefault="00824D62" w:rsidP="00A943F5">
      <w:pPr>
        <w:spacing w:after="0" w:line="240" w:lineRule="auto"/>
      </w:pPr>
      <w:r>
        <w:separator/>
      </w:r>
    </w:p>
  </w:footnote>
  <w:footnote w:type="continuationSeparator" w:id="0">
    <w:p w:rsidR="00824D62" w:rsidRDefault="00824D62" w:rsidP="00A9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68"/>
    <w:rsid w:val="000D25BC"/>
    <w:rsid w:val="00291F37"/>
    <w:rsid w:val="005A0D8C"/>
    <w:rsid w:val="00751C91"/>
    <w:rsid w:val="00824D62"/>
    <w:rsid w:val="00A26A07"/>
    <w:rsid w:val="00A73B4C"/>
    <w:rsid w:val="00A943F5"/>
    <w:rsid w:val="00C30268"/>
    <w:rsid w:val="00D063E3"/>
    <w:rsid w:val="00D5656A"/>
    <w:rsid w:val="00F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YpKL48aqik&amp;feature=youtu.be" TargetMode="External"/><Relationship Id="rId13" Type="http://schemas.openxmlformats.org/officeDocument/2006/relationships/hyperlink" Target="https://www.youtube.com/watch?v=l53qq12x12A&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an2qTere_k&amp;feature=youtu.be" TargetMode="External"/><Relationship Id="rId12" Type="http://schemas.openxmlformats.org/officeDocument/2006/relationships/hyperlink" Target="https://www.youtube.com/watch?v=nL72upjrGqc&amp;feature=youtu.b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youtube.com/watch?v=ZGHbsOZ4eDc&amp;feature=youtu.b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0bkIb22S_vs&amp;feature=youtu.be" TargetMode="External"/><Relationship Id="rId5" Type="http://schemas.openxmlformats.org/officeDocument/2006/relationships/footnotes" Target="footnotes.xml"/><Relationship Id="rId15" Type="http://schemas.openxmlformats.org/officeDocument/2006/relationships/hyperlink" Target="https://www.youtube.com/watch?v=O1Mo3Iuiv2Y&amp;feature=youtu.be" TargetMode="External"/><Relationship Id="rId10" Type="http://schemas.openxmlformats.org/officeDocument/2006/relationships/hyperlink" Target="https://www.youtube.com/watch?v=-nAA-kheUFY&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uu0m5wvEzI&amp;feature=youtu.be%20" TargetMode="External"/><Relationship Id="rId14" Type="http://schemas.openxmlformats.org/officeDocument/2006/relationships/hyperlink" Target="https://www.youtube.com/watch?v=YK5AaiKML-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Gibbons, Randee</cp:lastModifiedBy>
  <cp:revision>2</cp:revision>
  <dcterms:created xsi:type="dcterms:W3CDTF">2016-06-06T17:22:00Z</dcterms:created>
  <dcterms:modified xsi:type="dcterms:W3CDTF">2016-06-06T17:22:00Z</dcterms:modified>
</cp:coreProperties>
</file>