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81" w:rsidRPr="00390D81" w:rsidRDefault="00390D81" w:rsidP="00390D81">
      <w:pPr>
        <w:jc w:val="right"/>
      </w:pPr>
      <w:r>
        <w:t>April 21, 2015</w:t>
      </w:r>
    </w:p>
    <w:p w:rsidR="00AB5674" w:rsidRDefault="00AB5674" w:rsidP="00AB5674">
      <w:pPr>
        <w:jc w:val="center"/>
        <w:rPr>
          <w:b/>
          <w:u w:val="single"/>
        </w:rPr>
      </w:pPr>
      <w:r w:rsidRPr="00AB5674">
        <w:rPr>
          <w:b/>
          <w:u w:val="single"/>
        </w:rPr>
        <w:t xml:space="preserve">Proposed Revisions to </w:t>
      </w:r>
      <w:hyperlink r:id="rId6" w:history="1">
        <w:r w:rsidRPr="00390D81">
          <w:rPr>
            <w:rStyle w:val="Hyperlink"/>
            <w:b/>
          </w:rPr>
          <w:t>MPA Student Handbook</w:t>
        </w:r>
      </w:hyperlink>
    </w:p>
    <w:p w:rsidR="00AB5674" w:rsidRPr="00AB5674" w:rsidRDefault="00AB5674" w:rsidP="00AB5674">
      <w:pPr>
        <w:jc w:val="center"/>
      </w:pPr>
      <w:r>
        <w:t>(</w:t>
      </w:r>
      <w:r w:rsidRPr="00111EDC">
        <w:rPr>
          <w:highlight w:val="yellow"/>
        </w:rPr>
        <w:t>Highlights</w:t>
      </w:r>
      <w:r>
        <w:t xml:space="preserve">: Further discussion with </w:t>
      </w:r>
      <w:r w:rsidR="00B3735E">
        <w:t xml:space="preserve">Grad Programs, College Staff/Leadership, </w:t>
      </w:r>
      <w:r w:rsidR="006F7B7E">
        <w:t>MPA faculty/staff</w:t>
      </w:r>
      <w:bookmarkStart w:id="0" w:name="_GoBack"/>
      <w:bookmarkEnd w:id="0"/>
      <w:r w:rsidR="00B3735E">
        <w:t>?</w:t>
      </w:r>
      <w:r>
        <w:t>)</w:t>
      </w:r>
    </w:p>
    <w:p w:rsidR="00390D81" w:rsidRPr="00390D81" w:rsidRDefault="00390D81" w:rsidP="00390D81">
      <w:pPr>
        <w:rPr>
          <w:b/>
          <w:u w:val="single"/>
        </w:rPr>
      </w:pPr>
      <w:r w:rsidRPr="00390D81">
        <w:rPr>
          <w:b/>
          <w:u w:val="single"/>
        </w:rPr>
        <w:t>Academic Dishonesty</w:t>
      </w:r>
    </w:p>
    <w:p w:rsidR="00390D81" w:rsidRPr="00390D81" w:rsidRDefault="00111EDC" w:rsidP="00390D81">
      <w:r>
        <w:rPr>
          <w:highlight w:val="yellow"/>
        </w:rPr>
        <w:t xml:space="preserve">Existing </w:t>
      </w:r>
      <w:r w:rsidR="00390D81" w:rsidRPr="00390D81">
        <w:rPr>
          <w:highlight w:val="yellow"/>
        </w:rPr>
        <w:t>Policy:</w:t>
      </w:r>
      <w:r w:rsidR="00390D81">
        <w:t xml:space="preserve"> </w:t>
      </w:r>
      <w:r w:rsidR="00390D81" w:rsidRPr="00390D81">
        <w:t>Academic honesty is a necessity in a learning community. It makes coherent discourse possible, and is a necessary condition for all sharing, dialogue and evaluation.</w:t>
      </w:r>
      <w:r w:rsidR="00390D81">
        <w:t xml:space="preserve"> </w:t>
      </w:r>
      <w:r w:rsidR="00390D81" w:rsidRPr="00390D81">
        <w:t xml:space="preserve">Academic dishonesty is a violation of the campus </w:t>
      </w:r>
      <w:hyperlink r:id="rId7" w:history="1">
        <w:r w:rsidR="00390D81" w:rsidRPr="0077619F">
          <w:rPr>
            <w:rStyle w:val="Hyperlink"/>
            <w:b/>
            <w:bCs/>
            <w:highlight w:val="yellow"/>
          </w:rPr>
          <w:t>Student Conduct Code</w:t>
        </w:r>
      </w:hyperlink>
      <w:r w:rsidR="00390D81" w:rsidRPr="0077619F">
        <w:rPr>
          <w:highlight w:val="yellow"/>
        </w:rPr>
        <w:t xml:space="preserve">, </w:t>
      </w:r>
      <w:r w:rsidR="0077619F" w:rsidRPr="0077619F">
        <w:rPr>
          <w:highlight w:val="yellow"/>
        </w:rPr>
        <w:t xml:space="preserve">(use this link instead: </w:t>
      </w:r>
      <w:hyperlink r:id="rId8" w:history="1">
        <w:r w:rsidR="0077619F" w:rsidRPr="0077619F">
          <w:rPr>
            <w:rStyle w:val="Hyperlink"/>
            <w:highlight w:val="yellow"/>
          </w:rPr>
          <w:t>WAC 174</w:t>
        </w:r>
      </w:hyperlink>
      <w:r w:rsidR="0077619F" w:rsidRPr="0077619F">
        <w:rPr>
          <w:highlight w:val="yellow"/>
        </w:rPr>
        <w:t>)</w:t>
      </w:r>
      <w:r w:rsidR="0077619F">
        <w:t xml:space="preserve"> </w:t>
      </w:r>
      <w:r w:rsidR="00390D81" w:rsidRPr="00390D81">
        <w:t>and includes, but is not limited to, the following:</w:t>
      </w:r>
    </w:p>
    <w:p w:rsidR="00390D81" w:rsidRPr="00390D81" w:rsidRDefault="00390D81" w:rsidP="00390D81">
      <w:pPr>
        <w:numPr>
          <w:ilvl w:val="0"/>
          <w:numId w:val="1"/>
        </w:numPr>
      </w:pPr>
      <w:r w:rsidRPr="00390D81">
        <w:t>Plagiarism defined as appropriating or incorporating any other person's published or unpublished work in one's own work without full, clear and correct acknowledgment;</w:t>
      </w:r>
    </w:p>
    <w:p w:rsidR="00390D81" w:rsidRPr="00390D81" w:rsidRDefault="00390D81" w:rsidP="00390D81">
      <w:pPr>
        <w:numPr>
          <w:ilvl w:val="0"/>
          <w:numId w:val="1"/>
        </w:numPr>
      </w:pPr>
      <w:r w:rsidRPr="00390D81">
        <w:t>Copying from another person's academic work without proper acknowledgment;</w:t>
      </w:r>
    </w:p>
    <w:p w:rsidR="00390D81" w:rsidRPr="00390D81" w:rsidRDefault="00390D81" w:rsidP="00390D81">
      <w:pPr>
        <w:numPr>
          <w:ilvl w:val="0"/>
          <w:numId w:val="1"/>
        </w:numPr>
      </w:pPr>
      <w:r w:rsidRPr="00390D81">
        <w:t>Using assistance or materials that are expressly forbidden to complete an academic product or assignment;</w:t>
      </w:r>
    </w:p>
    <w:p w:rsidR="00390D81" w:rsidRPr="00390D81" w:rsidRDefault="00390D81" w:rsidP="00390D81">
      <w:pPr>
        <w:numPr>
          <w:ilvl w:val="0"/>
          <w:numId w:val="1"/>
        </w:numPr>
      </w:pPr>
      <w:r w:rsidRPr="00390D81">
        <w:t>The unauthorized collaboration with any other person during the completion of independent academic work;</w:t>
      </w:r>
    </w:p>
    <w:p w:rsidR="00390D81" w:rsidRPr="00390D81" w:rsidRDefault="00390D81" w:rsidP="00390D81">
      <w:pPr>
        <w:numPr>
          <w:ilvl w:val="0"/>
          <w:numId w:val="1"/>
        </w:numPr>
      </w:pPr>
      <w:r w:rsidRPr="00390D81">
        <w:t>Knowingly falsifying or assisting in falsifying or assisting in falsifying in whole, or in part, the contents of one's academic work;</w:t>
      </w:r>
    </w:p>
    <w:p w:rsidR="00390D81" w:rsidRPr="00390D81" w:rsidRDefault="00390D81" w:rsidP="00390D81">
      <w:pPr>
        <w:numPr>
          <w:ilvl w:val="0"/>
          <w:numId w:val="1"/>
        </w:numPr>
      </w:pPr>
      <w:r w:rsidRPr="00390D81">
        <w:t>Permitting any other person to substitute oneself to complete academic work; or</w:t>
      </w:r>
    </w:p>
    <w:p w:rsidR="00390D81" w:rsidRPr="00390D81" w:rsidRDefault="00390D81" w:rsidP="00390D81">
      <w:pPr>
        <w:numPr>
          <w:ilvl w:val="0"/>
          <w:numId w:val="1"/>
        </w:numPr>
      </w:pPr>
      <w:r w:rsidRPr="00390D81">
        <w:t>Engaging in any academic behavior specifically prohibited by a faculty member in the course covenant, syllabus, or individual or class discussion.</w:t>
      </w:r>
    </w:p>
    <w:p w:rsidR="00390D81" w:rsidRDefault="00390D81">
      <w:proofErr w:type="gramStart"/>
      <w:r w:rsidRPr="00390D81">
        <w:t xml:space="preserve">A proven case of academic dishonesty by a graduate student </w:t>
      </w:r>
      <w:r w:rsidRPr="00390D81">
        <w:rPr>
          <w:highlight w:val="yellow"/>
        </w:rPr>
        <w:t>will</w:t>
      </w:r>
      <w:r>
        <w:t xml:space="preserve"> </w:t>
      </w:r>
      <w:r w:rsidR="006313EA" w:rsidRPr="006313EA">
        <w:rPr>
          <w:highlight w:val="yellow"/>
        </w:rPr>
        <w:t>likely</w:t>
      </w:r>
      <w:r w:rsidRPr="00390D81">
        <w:t xml:space="preserve"> result in the loss of credit and possible dismissal from the graduate program.</w:t>
      </w:r>
      <w:proofErr w:type="gramEnd"/>
    </w:p>
    <w:p w:rsidR="00111EDC" w:rsidRPr="00B3735E" w:rsidRDefault="00B3735E" w:rsidP="00144ED9">
      <w:r>
        <w:rPr>
          <w:highlight w:val="yellow"/>
        </w:rPr>
        <w:t xml:space="preserve">Proposed </w:t>
      </w:r>
      <w:r w:rsidR="00111EDC">
        <w:rPr>
          <w:highlight w:val="yellow"/>
        </w:rPr>
        <w:t xml:space="preserve">New </w:t>
      </w:r>
      <w:r w:rsidR="00390D81" w:rsidRPr="00390D81">
        <w:rPr>
          <w:highlight w:val="yellow"/>
        </w:rPr>
        <w:t>Procedure</w:t>
      </w:r>
      <w:r w:rsidR="00390D81" w:rsidRPr="00144ED9">
        <w:rPr>
          <w:highlight w:val="yellow"/>
        </w:rPr>
        <w:t xml:space="preserve">: </w:t>
      </w:r>
      <w:r w:rsidR="00BB401D" w:rsidRPr="00144ED9">
        <w:rPr>
          <w:highlight w:val="yellow"/>
        </w:rPr>
        <w:t>If</w:t>
      </w:r>
      <w:r w:rsidR="00390D81" w:rsidRPr="00144ED9">
        <w:rPr>
          <w:highlight w:val="yellow"/>
        </w:rPr>
        <w:t xml:space="preserve"> a first time</w:t>
      </w:r>
      <w:r w:rsidR="00BB401D" w:rsidRPr="00144ED9">
        <w:rPr>
          <w:highlight w:val="yellow"/>
        </w:rPr>
        <w:t xml:space="preserve"> incident of plagiarism is minor</w:t>
      </w:r>
      <w:r w:rsidR="00390D81" w:rsidRPr="00144ED9">
        <w:rPr>
          <w:highlight w:val="yellow"/>
        </w:rPr>
        <w:t>, it may be approached as a</w:t>
      </w:r>
      <w:r w:rsidR="00BB401D" w:rsidRPr="00144ED9">
        <w:rPr>
          <w:highlight w:val="yellow"/>
        </w:rPr>
        <w:t xml:space="preserve"> teachabl</w:t>
      </w:r>
      <w:r w:rsidR="00390D81" w:rsidRPr="00144ED9">
        <w:rPr>
          <w:highlight w:val="yellow"/>
        </w:rPr>
        <w:t>e moment (Ex. lack of citation</w:t>
      </w:r>
      <w:r w:rsidR="006A4409">
        <w:rPr>
          <w:highlight w:val="yellow"/>
        </w:rPr>
        <w:t xml:space="preserve"> for quotes or paraphrasing</w:t>
      </w:r>
      <w:r w:rsidR="00390D81" w:rsidRPr="00144ED9">
        <w:rPr>
          <w:highlight w:val="yellow"/>
        </w:rPr>
        <w:t>) by the course faculty. However,</w:t>
      </w:r>
      <w:r w:rsidR="00BB401D" w:rsidRPr="00144ED9">
        <w:rPr>
          <w:highlight w:val="yellow"/>
        </w:rPr>
        <w:t xml:space="preserve"> if </w:t>
      </w:r>
      <w:r w:rsidR="00390D81" w:rsidRPr="00144ED9">
        <w:rPr>
          <w:highlight w:val="yellow"/>
        </w:rPr>
        <w:t xml:space="preserve">the first or subsequent </w:t>
      </w:r>
      <w:r w:rsidR="00BB401D" w:rsidRPr="00144ED9">
        <w:rPr>
          <w:highlight w:val="yellow"/>
        </w:rPr>
        <w:t xml:space="preserve">incident of </w:t>
      </w:r>
      <w:r w:rsidR="00390D81" w:rsidRPr="00144ED9">
        <w:rPr>
          <w:highlight w:val="yellow"/>
        </w:rPr>
        <w:t xml:space="preserve">plagiarism is major or egregious </w:t>
      </w:r>
      <w:r w:rsidR="00BB401D" w:rsidRPr="00144ED9">
        <w:rPr>
          <w:highlight w:val="yellow"/>
        </w:rPr>
        <w:t>(Ex. copying another stude</w:t>
      </w:r>
      <w:r w:rsidR="00390D81" w:rsidRPr="00144ED9">
        <w:rPr>
          <w:highlight w:val="yellow"/>
        </w:rPr>
        <w:t xml:space="preserve">nt’s work or copying any </w:t>
      </w:r>
      <w:r w:rsidR="00BB401D" w:rsidRPr="00144ED9">
        <w:rPr>
          <w:highlight w:val="yellow"/>
        </w:rPr>
        <w:t>work</w:t>
      </w:r>
      <w:r w:rsidR="00390D81" w:rsidRPr="00144ED9">
        <w:rPr>
          <w:highlight w:val="yellow"/>
        </w:rPr>
        <w:t xml:space="preserve"> not originated by the student), the student may be referred</w:t>
      </w:r>
      <w:r w:rsidR="00BB401D" w:rsidRPr="00144ED9">
        <w:rPr>
          <w:highlight w:val="yellow"/>
        </w:rPr>
        <w:t xml:space="preserve"> to the </w:t>
      </w:r>
      <w:r w:rsidR="00390D81" w:rsidRPr="00144ED9">
        <w:rPr>
          <w:highlight w:val="yellow"/>
        </w:rPr>
        <w:t xml:space="preserve">campus </w:t>
      </w:r>
      <w:r w:rsidR="00BB401D" w:rsidRPr="00144ED9">
        <w:rPr>
          <w:highlight w:val="yellow"/>
        </w:rPr>
        <w:t>Conduct Officer. Facul</w:t>
      </w:r>
      <w:r w:rsidR="00390D81" w:rsidRPr="00144ED9">
        <w:rPr>
          <w:highlight w:val="yellow"/>
        </w:rPr>
        <w:t>ty will notify the student if this occurs. Conduct Officer will do an</w:t>
      </w:r>
      <w:r w:rsidR="00BB401D" w:rsidRPr="00144ED9">
        <w:rPr>
          <w:highlight w:val="yellow"/>
        </w:rPr>
        <w:t xml:space="preserve"> investigation </w:t>
      </w:r>
      <w:r w:rsidR="00390D81" w:rsidRPr="00144ED9">
        <w:rPr>
          <w:highlight w:val="yellow"/>
        </w:rPr>
        <w:t xml:space="preserve">into the evidence of plagiarism </w:t>
      </w:r>
      <w:r w:rsidR="00BB401D" w:rsidRPr="00144ED9">
        <w:rPr>
          <w:highlight w:val="yellow"/>
        </w:rPr>
        <w:t xml:space="preserve">and </w:t>
      </w:r>
      <w:r w:rsidR="00390D81" w:rsidRPr="00144ED9">
        <w:rPr>
          <w:highlight w:val="yellow"/>
        </w:rPr>
        <w:t xml:space="preserve">also </w:t>
      </w:r>
      <w:r w:rsidR="00BB401D" w:rsidRPr="00144ED9">
        <w:rPr>
          <w:highlight w:val="yellow"/>
        </w:rPr>
        <w:t>follow up</w:t>
      </w:r>
      <w:r w:rsidR="00144ED9" w:rsidRPr="00144ED9">
        <w:rPr>
          <w:highlight w:val="yellow"/>
        </w:rPr>
        <w:t xml:space="preserve"> with the student and faculty. Upon the o</w:t>
      </w:r>
      <w:r w:rsidR="00BB401D" w:rsidRPr="00144ED9">
        <w:rPr>
          <w:highlight w:val="yellow"/>
        </w:rPr>
        <w:t>utcome of the investigation,</w:t>
      </w:r>
      <w:r w:rsidR="00144ED9" w:rsidRPr="00144ED9">
        <w:rPr>
          <w:highlight w:val="yellow"/>
        </w:rPr>
        <w:t xml:space="preserve"> faculty will determine if there is a loss of credit for the course</w:t>
      </w:r>
      <w:r w:rsidR="00BB401D" w:rsidRPr="00144ED9">
        <w:rPr>
          <w:highlight w:val="yellow"/>
        </w:rPr>
        <w:t xml:space="preserve">.  </w:t>
      </w:r>
      <w:r w:rsidR="00144ED9" w:rsidRPr="00144ED9">
        <w:rPr>
          <w:highlight w:val="yellow"/>
        </w:rPr>
        <w:t>If there is a loss of credit, faculty will inform the MPA Director and subsequently student dismissal from the MPA program may occur.</w:t>
      </w:r>
      <w:r w:rsidR="00144ED9">
        <w:t xml:space="preserve"> </w:t>
      </w:r>
      <w:r w:rsidR="00BB401D">
        <w:t xml:space="preserve"> </w:t>
      </w:r>
      <w:bookmarkStart w:id="1" w:name="dismissal"/>
      <w:bookmarkEnd w:id="1"/>
    </w:p>
    <w:p w:rsidR="00B3735E" w:rsidRDefault="00B3735E" w:rsidP="00144ED9">
      <w:pPr>
        <w:rPr>
          <w:b/>
          <w:u w:val="single"/>
        </w:rPr>
      </w:pPr>
    </w:p>
    <w:p w:rsidR="00144ED9" w:rsidRPr="00144ED9" w:rsidRDefault="00144ED9" w:rsidP="00144ED9">
      <w:pPr>
        <w:rPr>
          <w:b/>
          <w:u w:val="single"/>
        </w:rPr>
      </w:pPr>
      <w:r w:rsidRPr="00144ED9">
        <w:rPr>
          <w:b/>
          <w:u w:val="single"/>
        </w:rPr>
        <w:lastRenderedPageBreak/>
        <w:t>Dismissal from the MPA Program</w:t>
      </w:r>
    </w:p>
    <w:p w:rsidR="00144ED9" w:rsidRPr="00144ED9" w:rsidRDefault="00111EDC" w:rsidP="00144ED9">
      <w:r>
        <w:rPr>
          <w:highlight w:val="yellow"/>
        </w:rPr>
        <w:t xml:space="preserve">Existing </w:t>
      </w:r>
      <w:r w:rsidR="00C15282" w:rsidRPr="00C15282">
        <w:rPr>
          <w:highlight w:val="yellow"/>
        </w:rPr>
        <w:t>Policy</w:t>
      </w:r>
      <w:r w:rsidR="00C15282">
        <w:t xml:space="preserve">: </w:t>
      </w:r>
      <w:r w:rsidR="00144ED9" w:rsidRPr="00144ED9">
        <w:t>All graduate students are expected to perform at a high academic level and to s</w:t>
      </w:r>
      <w:r w:rsidR="00C15282">
        <w:t>upport and contribute to a well</w:t>
      </w:r>
      <w:r w:rsidR="00C15282" w:rsidRPr="00C15282">
        <w:rPr>
          <w:highlight w:val="yellow"/>
        </w:rPr>
        <w:t>-</w:t>
      </w:r>
      <w:r w:rsidR="00144ED9" w:rsidRPr="00144ED9">
        <w:t>functioning MPA classroom learning community.</w:t>
      </w:r>
      <w:r>
        <w:t xml:space="preserve"> </w:t>
      </w:r>
      <w:r w:rsidR="00144ED9" w:rsidRPr="00144ED9">
        <w:t>If these expectations are not met, students are subject to dismissal from the MPA program as follows:</w:t>
      </w:r>
    </w:p>
    <w:p w:rsidR="00144ED9" w:rsidRPr="006F7B7E" w:rsidRDefault="00144ED9" w:rsidP="006F7B7E">
      <w:pPr>
        <w:pStyle w:val="ListParagraph"/>
        <w:numPr>
          <w:ilvl w:val="0"/>
          <w:numId w:val="3"/>
        </w:numPr>
        <w:rPr>
          <w:highlight w:val="yellow"/>
        </w:rPr>
      </w:pPr>
      <w:r w:rsidRPr="00144ED9">
        <w:t>Students will be dismissed from the program for receiving a "No Credit" (NCR) for any two quarters of Core course work. The courses for which the NCRs were received may be sequential or non-sequential. This includes the repetition of any Core course.</w:t>
      </w:r>
      <w:r w:rsidR="006F7B7E">
        <w:t xml:space="preserve"> </w:t>
      </w:r>
      <w:r w:rsidR="006F7B7E">
        <w:rPr>
          <w:highlight w:val="yellow"/>
        </w:rPr>
        <w:t xml:space="preserve">Should we </w:t>
      </w:r>
      <w:r w:rsidR="006F7B7E" w:rsidRPr="006F7B7E">
        <w:rPr>
          <w:highlight w:val="yellow"/>
        </w:rPr>
        <w:t>follow the</w:t>
      </w:r>
      <w:r w:rsidR="006F7B7E">
        <w:t xml:space="preserve"> </w:t>
      </w:r>
      <w:hyperlink r:id="rId9" w:history="1">
        <w:r w:rsidR="006F7B7E" w:rsidRPr="00B3735E">
          <w:rPr>
            <w:rStyle w:val="Hyperlink"/>
            <w:highlight w:val="yellow"/>
          </w:rPr>
          <w:t>Academic Standing</w:t>
        </w:r>
      </w:hyperlink>
      <w:r w:rsidR="006F7B7E">
        <w:rPr>
          <w:highlight w:val="yellow"/>
        </w:rPr>
        <w:t xml:space="preserve"> policy?</w:t>
      </w:r>
      <w:r w:rsidR="006F7B7E">
        <w:rPr>
          <w:highlight w:val="yellow"/>
        </w:rPr>
        <w:t>: If student is placed on academic warning (on probation), Registration notifies the student in writing via hard copy mail and then the student has 2 consecutive quarters to earn 75% of their attempted credits or better</w:t>
      </w:r>
      <w:r w:rsidR="006F7B7E" w:rsidRPr="00111EDC">
        <w:rPr>
          <w:highlight w:val="yellow"/>
        </w:rPr>
        <w:t xml:space="preserve"> </w:t>
      </w:r>
      <w:r w:rsidR="006F7B7E">
        <w:rPr>
          <w:highlight w:val="yellow"/>
        </w:rPr>
        <w:t xml:space="preserve">and they will go back to good standing. If this does not occur, the student will be placed on 1 year required leave and may return after that time. The condition is that they are still on academic warning (probation). If they fail to meet the conditions of the probation, they are dismissed from the college.  </w:t>
      </w:r>
    </w:p>
    <w:p w:rsidR="00144ED9" w:rsidRPr="00144ED9" w:rsidRDefault="00144ED9" w:rsidP="00144ED9">
      <w:pPr>
        <w:numPr>
          <w:ilvl w:val="0"/>
          <w:numId w:val="2"/>
        </w:numPr>
      </w:pPr>
      <w:r w:rsidRPr="00144ED9">
        <w:t>Students will also be dismissed from the program for failing to register for credit following the end of a leave of absence.</w:t>
      </w:r>
    </w:p>
    <w:p w:rsidR="00144ED9" w:rsidRPr="00144ED9" w:rsidRDefault="00144ED9" w:rsidP="00144ED9">
      <w:pPr>
        <w:numPr>
          <w:ilvl w:val="0"/>
          <w:numId w:val="2"/>
        </w:numPr>
      </w:pPr>
      <w:r w:rsidRPr="00144ED9">
        <w:t xml:space="preserve">Behavior that disrupts the learning community may be grounds for disciplinary action, </w:t>
      </w:r>
      <w:r w:rsidRPr="00144ED9">
        <w:rPr>
          <w:b/>
          <w:bCs/>
        </w:rPr>
        <w:t>up to and including dismissal from the MPA program</w:t>
      </w:r>
      <w:r w:rsidRPr="00144ED9">
        <w:t>.</w:t>
      </w:r>
    </w:p>
    <w:p w:rsidR="00144ED9" w:rsidRPr="00144ED9" w:rsidRDefault="00144ED9" w:rsidP="00144ED9">
      <w:pPr>
        <w:numPr>
          <w:ilvl w:val="0"/>
          <w:numId w:val="2"/>
        </w:numPr>
      </w:pPr>
      <w:r w:rsidRPr="00144ED9">
        <w:t>Students may be dismissed from the program under other serious circumstances, such as plagiarism, other violations of the Student Contract or the Student Conduct Code, etc.</w:t>
      </w:r>
    </w:p>
    <w:p w:rsidR="00144ED9" w:rsidRDefault="00144ED9">
      <w:r w:rsidRPr="00144ED9">
        <w:t xml:space="preserve">Under extraordinary circumstances following dismissal, </w:t>
      </w:r>
      <w:r w:rsidRPr="00144ED9">
        <w:rPr>
          <w:b/>
          <w:bCs/>
        </w:rPr>
        <w:t>students may be reinstated,</w:t>
      </w:r>
      <w:r w:rsidRPr="00144ED9">
        <w:t xml:space="preserve"> at the discretion of the MPA Director. If reinstatement is approved, the student must follow the procedure described under the “Leave of Absence” section for “Reactivation of Active Student Status following a Leave of Absence”.</w:t>
      </w:r>
    </w:p>
    <w:p w:rsidR="00C15282" w:rsidRPr="00111EDC" w:rsidRDefault="00B3735E">
      <w:pPr>
        <w:rPr>
          <w:highlight w:val="yellow"/>
        </w:rPr>
      </w:pPr>
      <w:r>
        <w:rPr>
          <w:highlight w:val="yellow"/>
        </w:rPr>
        <w:t xml:space="preserve">Proposed </w:t>
      </w:r>
      <w:r w:rsidR="00111EDC">
        <w:rPr>
          <w:highlight w:val="yellow"/>
        </w:rPr>
        <w:t xml:space="preserve">New </w:t>
      </w:r>
      <w:r w:rsidR="00C15282" w:rsidRPr="00C15282">
        <w:rPr>
          <w:highlight w:val="yellow"/>
        </w:rPr>
        <w:t>Procedure</w:t>
      </w:r>
      <w:r w:rsidR="00C15282">
        <w:t xml:space="preserve">: </w:t>
      </w:r>
      <w:r w:rsidR="00C15282" w:rsidRPr="00111EDC">
        <w:rPr>
          <w:highlight w:val="yellow"/>
        </w:rPr>
        <w:t xml:space="preserve">MPA </w:t>
      </w:r>
      <w:r w:rsidR="002222B8" w:rsidRPr="00111EDC">
        <w:rPr>
          <w:highlight w:val="yellow"/>
        </w:rPr>
        <w:t xml:space="preserve">Director issues a letter </w:t>
      </w:r>
      <w:r w:rsidR="00C15282" w:rsidRPr="00111EDC">
        <w:rPr>
          <w:highlight w:val="yellow"/>
        </w:rPr>
        <w:t xml:space="preserve">to the student </w:t>
      </w:r>
      <w:r w:rsidR="002222B8" w:rsidRPr="00111EDC">
        <w:rPr>
          <w:highlight w:val="yellow"/>
        </w:rPr>
        <w:t xml:space="preserve">stating </w:t>
      </w:r>
      <w:r w:rsidR="00C15282" w:rsidRPr="00111EDC">
        <w:rPr>
          <w:highlight w:val="yellow"/>
        </w:rPr>
        <w:t>they are dismissed from the MPA program and outlining the basis for that decision. Student then has</w:t>
      </w:r>
      <w:r w:rsidR="002222B8" w:rsidRPr="00111EDC">
        <w:rPr>
          <w:highlight w:val="yellow"/>
        </w:rPr>
        <w:t xml:space="preserve"> 20 </w:t>
      </w:r>
      <w:r w:rsidR="00D950F1" w:rsidRPr="00111EDC">
        <w:rPr>
          <w:highlight w:val="yellow"/>
        </w:rPr>
        <w:t xml:space="preserve">calendar </w:t>
      </w:r>
      <w:r w:rsidR="002222B8" w:rsidRPr="00111EDC">
        <w:rPr>
          <w:highlight w:val="yellow"/>
        </w:rPr>
        <w:t>days to appeal</w:t>
      </w:r>
      <w:r w:rsidR="00C15282" w:rsidRPr="00111EDC">
        <w:rPr>
          <w:highlight w:val="yellow"/>
        </w:rPr>
        <w:t xml:space="preserve"> to one of the following campus entities</w:t>
      </w:r>
      <w:r w:rsidR="001247F7" w:rsidRPr="00111EDC">
        <w:rPr>
          <w:highlight w:val="yellow"/>
        </w:rPr>
        <w:t xml:space="preserve"> in writing</w:t>
      </w:r>
      <w:r w:rsidR="002222B8" w:rsidRPr="00111EDC">
        <w:rPr>
          <w:highlight w:val="yellow"/>
        </w:rPr>
        <w:t xml:space="preserve">: </w:t>
      </w:r>
    </w:p>
    <w:p w:rsidR="00C15282" w:rsidRPr="00111EDC" w:rsidRDefault="00C15282" w:rsidP="00C15282">
      <w:pPr>
        <w:pStyle w:val="ListParagraph"/>
        <w:numPr>
          <w:ilvl w:val="0"/>
          <w:numId w:val="3"/>
        </w:numPr>
        <w:rPr>
          <w:highlight w:val="yellow"/>
        </w:rPr>
      </w:pPr>
      <w:r w:rsidRPr="00111EDC">
        <w:rPr>
          <w:highlight w:val="yellow"/>
        </w:rPr>
        <w:t>If student is dismissed for b</w:t>
      </w:r>
      <w:r w:rsidR="002222B8" w:rsidRPr="00111EDC">
        <w:rPr>
          <w:highlight w:val="yellow"/>
        </w:rPr>
        <w:t>ehavioral</w:t>
      </w:r>
      <w:r w:rsidRPr="00111EDC">
        <w:rPr>
          <w:highlight w:val="yellow"/>
        </w:rPr>
        <w:t xml:space="preserve"> matters, th</w:t>
      </w:r>
      <w:r w:rsidR="001247F7" w:rsidRPr="00111EDC">
        <w:rPr>
          <w:highlight w:val="yellow"/>
        </w:rPr>
        <w:t xml:space="preserve">e student may appeal </w:t>
      </w:r>
      <w:r w:rsidRPr="00111EDC">
        <w:rPr>
          <w:highlight w:val="yellow"/>
        </w:rPr>
        <w:t>to the</w:t>
      </w:r>
      <w:r w:rsidR="001247F7" w:rsidRPr="00111EDC">
        <w:rPr>
          <w:highlight w:val="yellow"/>
        </w:rPr>
        <w:t xml:space="preserve"> </w:t>
      </w:r>
      <w:hyperlink r:id="rId10" w:history="1">
        <w:r w:rsidR="001247F7" w:rsidRPr="00111EDC">
          <w:rPr>
            <w:rStyle w:val="Hyperlink"/>
            <w:highlight w:val="yellow"/>
          </w:rPr>
          <w:t>Student Conduct A</w:t>
        </w:r>
        <w:r w:rsidR="002222B8" w:rsidRPr="00111EDC">
          <w:rPr>
            <w:rStyle w:val="Hyperlink"/>
            <w:highlight w:val="yellow"/>
          </w:rPr>
          <w:t>ppeals</w:t>
        </w:r>
        <w:r w:rsidR="001247F7" w:rsidRPr="00111EDC">
          <w:rPr>
            <w:rStyle w:val="Hyperlink"/>
            <w:highlight w:val="yellow"/>
          </w:rPr>
          <w:t xml:space="preserve"> B</w:t>
        </w:r>
        <w:r w:rsidR="002222B8" w:rsidRPr="00111EDC">
          <w:rPr>
            <w:rStyle w:val="Hyperlink"/>
            <w:highlight w:val="yellow"/>
          </w:rPr>
          <w:t>oard</w:t>
        </w:r>
      </w:hyperlink>
      <w:r w:rsidR="002222B8" w:rsidRPr="00111EDC">
        <w:rPr>
          <w:highlight w:val="yellow"/>
        </w:rPr>
        <w:t xml:space="preserve">. </w:t>
      </w:r>
      <w:r w:rsidR="00B3735E">
        <w:rPr>
          <w:highlight w:val="yellow"/>
        </w:rPr>
        <w:t>Contact: Conduct Officer.</w:t>
      </w:r>
    </w:p>
    <w:p w:rsidR="002E1783" w:rsidRDefault="002E1783" w:rsidP="00C15282">
      <w:pPr>
        <w:pStyle w:val="ListParagraph"/>
        <w:numPr>
          <w:ilvl w:val="0"/>
          <w:numId w:val="3"/>
        </w:numPr>
        <w:rPr>
          <w:highlight w:val="yellow"/>
        </w:rPr>
      </w:pPr>
      <w:r>
        <w:rPr>
          <w:highlight w:val="yellow"/>
        </w:rPr>
        <w:t>If student is dismissed for satisfactory academic progress</w:t>
      </w:r>
      <w:r w:rsidR="00B3735E">
        <w:rPr>
          <w:highlight w:val="yellow"/>
        </w:rPr>
        <w:t xml:space="preserve"> issues</w:t>
      </w:r>
      <w:r w:rsidR="00C15282" w:rsidRPr="00111EDC">
        <w:rPr>
          <w:highlight w:val="yellow"/>
        </w:rPr>
        <w:t>, th</w:t>
      </w:r>
      <w:r w:rsidR="001247F7" w:rsidRPr="00111EDC">
        <w:rPr>
          <w:highlight w:val="yellow"/>
        </w:rPr>
        <w:t xml:space="preserve">e student may appeal </w:t>
      </w:r>
      <w:r w:rsidR="00C15282" w:rsidRPr="00111EDC">
        <w:rPr>
          <w:highlight w:val="yellow"/>
        </w:rPr>
        <w:t>to the</w:t>
      </w:r>
      <w:r>
        <w:rPr>
          <w:highlight w:val="yellow"/>
        </w:rPr>
        <w:t xml:space="preserve"> </w:t>
      </w:r>
      <w:hyperlink r:id="rId11" w:history="1">
        <w:r w:rsidRPr="006F7B7E">
          <w:rPr>
            <w:rStyle w:val="Hyperlink"/>
            <w:highlight w:val="yellow"/>
          </w:rPr>
          <w:t>Satisfactory Academic Progress (SAP) Petition R</w:t>
        </w:r>
        <w:r w:rsidR="00B3735E" w:rsidRPr="006F7B7E">
          <w:rPr>
            <w:rStyle w:val="Hyperlink"/>
            <w:highlight w:val="yellow"/>
          </w:rPr>
          <w:t>eview Committee</w:t>
        </w:r>
      </w:hyperlink>
      <w:r w:rsidR="00B3735E">
        <w:rPr>
          <w:highlight w:val="yellow"/>
        </w:rPr>
        <w:t xml:space="preserve">. Contact: </w:t>
      </w:r>
      <w:r>
        <w:rPr>
          <w:highlight w:val="yellow"/>
        </w:rPr>
        <w:t xml:space="preserve">Associate Director of Financial Aid. </w:t>
      </w:r>
    </w:p>
    <w:p w:rsidR="0077619F" w:rsidRPr="0077619F" w:rsidRDefault="0077619F">
      <w:pPr>
        <w:rPr>
          <w:b/>
          <w:u w:val="single"/>
        </w:rPr>
      </w:pPr>
      <w:r w:rsidRPr="0077619F">
        <w:rPr>
          <w:b/>
          <w:u w:val="single"/>
        </w:rPr>
        <w:t xml:space="preserve">Sections that currently </w:t>
      </w:r>
      <w:r w:rsidRPr="001247F7">
        <w:rPr>
          <w:b/>
          <w:i/>
          <w:u w:val="single"/>
        </w:rPr>
        <w:t>do not</w:t>
      </w:r>
      <w:r w:rsidRPr="0077619F">
        <w:rPr>
          <w:b/>
          <w:u w:val="single"/>
        </w:rPr>
        <w:t xml:space="preserve"> exist </w:t>
      </w:r>
      <w:r>
        <w:rPr>
          <w:b/>
          <w:u w:val="single"/>
        </w:rPr>
        <w:t xml:space="preserve">in the </w:t>
      </w:r>
      <w:r w:rsidR="00111EDC">
        <w:rPr>
          <w:b/>
          <w:u w:val="single"/>
        </w:rPr>
        <w:t>MPA Student H</w:t>
      </w:r>
      <w:r>
        <w:rPr>
          <w:b/>
          <w:u w:val="single"/>
        </w:rPr>
        <w:t xml:space="preserve">andbook </w:t>
      </w:r>
      <w:r w:rsidRPr="0077619F">
        <w:rPr>
          <w:b/>
          <w:u w:val="single"/>
        </w:rPr>
        <w:t xml:space="preserve">&amp; </w:t>
      </w:r>
      <w:r w:rsidRPr="00BC40EF">
        <w:rPr>
          <w:b/>
          <w:u w:val="single"/>
        </w:rPr>
        <w:t xml:space="preserve">may need to be </w:t>
      </w:r>
      <w:r w:rsidRPr="001247F7">
        <w:rPr>
          <w:b/>
          <w:i/>
          <w:u w:val="single"/>
        </w:rPr>
        <w:t>added</w:t>
      </w:r>
      <w:r w:rsidRPr="0077619F">
        <w:rPr>
          <w:b/>
          <w:u w:val="single"/>
        </w:rPr>
        <w:t>:</w:t>
      </w:r>
    </w:p>
    <w:p w:rsidR="0077619F" w:rsidRDefault="0077619F" w:rsidP="0077619F">
      <w:pPr>
        <w:pStyle w:val="ListParagraph"/>
        <w:numPr>
          <w:ilvl w:val="0"/>
          <w:numId w:val="4"/>
        </w:numPr>
      </w:pPr>
      <w:r w:rsidRPr="00BC40EF">
        <w:rPr>
          <w:highlight w:val="yellow"/>
        </w:rPr>
        <w:t>Link</w:t>
      </w:r>
      <w:r>
        <w:t xml:space="preserve"> to TESC </w:t>
      </w:r>
      <w:hyperlink r:id="rId12" w:history="1">
        <w:r w:rsidRPr="0077619F">
          <w:rPr>
            <w:rStyle w:val="Hyperlink"/>
          </w:rPr>
          <w:t>Student Rights and Responsibilities</w:t>
        </w:r>
      </w:hyperlink>
    </w:p>
    <w:p w:rsidR="003E3269" w:rsidRDefault="003E3269" w:rsidP="0077619F">
      <w:pPr>
        <w:pStyle w:val="ListParagraph"/>
        <w:numPr>
          <w:ilvl w:val="0"/>
          <w:numId w:val="4"/>
        </w:numPr>
      </w:pPr>
      <w:r w:rsidRPr="00BC40EF">
        <w:rPr>
          <w:highlight w:val="yellow"/>
        </w:rPr>
        <w:t>Link</w:t>
      </w:r>
      <w:r>
        <w:t xml:space="preserve"> to TESC </w:t>
      </w:r>
      <w:hyperlink r:id="rId13" w:history="1">
        <w:r w:rsidRPr="003E3269">
          <w:rPr>
            <w:rStyle w:val="Hyperlink"/>
          </w:rPr>
          <w:t>Graduate Satisfactory Academic Progress Policy</w:t>
        </w:r>
      </w:hyperlink>
      <w:r>
        <w:t xml:space="preserve">. </w:t>
      </w:r>
    </w:p>
    <w:p w:rsidR="007769EE" w:rsidRDefault="0077619F" w:rsidP="007769EE">
      <w:pPr>
        <w:pStyle w:val="ListParagraph"/>
        <w:numPr>
          <w:ilvl w:val="0"/>
          <w:numId w:val="4"/>
        </w:numPr>
      </w:pPr>
      <w:r w:rsidRPr="00BC40EF">
        <w:rPr>
          <w:highlight w:val="yellow"/>
        </w:rPr>
        <w:t>Duty to Report</w:t>
      </w:r>
      <w:r>
        <w:t xml:space="preserve">: </w:t>
      </w:r>
      <w:r w:rsidR="00CA1172">
        <w:t xml:space="preserve">All faculty </w:t>
      </w:r>
      <w:r w:rsidR="007219CA">
        <w:t xml:space="preserve">and staff </w:t>
      </w:r>
      <w:r w:rsidR="00CA1172">
        <w:t xml:space="preserve">are responsible employees, we have a duty to report any notice of sexual assault, </w:t>
      </w:r>
      <w:r w:rsidR="007219CA">
        <w:t xml:space="preserve">intimate </w:t>
      </w:r>
      <w:r w:rsidR="00CA1172">
        <w:t xml:space="preserve">partner violence, stalking, sexual harassment, harm </w:t>
      </w:r>
      <w:r w:rsidR="00CA1172">
        <w:lastRenderedPageBreak/>
        <w:t xml:space="preserve">self/suicide attempt, or any significant safety concern </w:t>
      </w:r>
      <w:r w:rsidR="007219CA">
        <w:t xml:space="preserve">to the authorities or appropriate parties. More information is available through the </w:t>
      </w:r>
      <w:hyperlink r:id="rId14" w:history="1">
        <w:r w:rsidR="007219CA" w:rsidRPr="0077619F">
          <w:rPr>
            <w:rStyle w:val="Hyperlink"/>
          </w:rPr>
          <w:t>campus policies page</w:t>
        </w:r>
      </w:hyperlink>
      <w:r w:rsidR="007219CA">
        <w:t>.</w:t>
      </w:r>
      <w:r>
        <w:t xml:space="preserve"> </w:t>
      </w:r>
    </w:p>
    <w:p w:rsidR="00270015" w:rsidRDefault="00270015" w:rsidP="00270015">
      <w:pPr>
        <w:pStyle w:val="ListParagraph"/>
        <w:numPr>
          <w:ilvl w:val="0"/>
          <w:numId w:val="4"/>
        </w:numPr>
      </w:pPr>
      <w:r>
        <w:t xml:space="preserve">In their welcome letter or at new student orientation, </w:t>
      </w:r>
      <w:r w:rsidRPr="00BC40EF">
        <w:rPr>
          <w:highlight w:val="yellow"/>
        </w:rPr>
        <w:t>have students sign a document to declare</w:t>
      </w:r>
      <w:r>
        <w:t>, “I have read, understand, and agree to abide by the MPA student handbook, the TESC student conduct code, and the TESC social contract.” Make a note in the MPA stu</w:t>
      </w:r>
      <w:r w:rsidR="00111EDC">
        <w:t>dent handbook that this was request was made and that, whether the document was signed or not, students are bound by these policies as registered students in the MPA program</w:t>
      </w:r>
      <w:r>
        <w:t xml:space="preserve">.  </w:t>
      </w:r>
    </w:p>
    <w:p w:rsidR="002E0FBF" w:rsidRDefault="002E0FBF" w:rsidP="002E0FBF">
      <w:pPr>
        <w:pStyle w:val="ListParagraph"/>
        <w:numPr>
          <w:ilvl w:val="0"/>
          <w:numId w:val="4"/>
        </w:numPr>
      </w:pPr>
      <w:r w:rsidRPr="00BC40EF">
        <w:rPr>
          <w:highlight w:val="yellow"/>
        </w:rPr>
        <w:t>Reasonable Notice</w:t>
      </w:r>
      <w:r w:rsidRPr="002E0FBF">
        <w:t>: In administrative p</w:t>
      </w:r>
      <w:r w:rsidR="006313EA">
        <w:t>rocesses where student is</w:t>
      </w:r>
      <w:r>
        <w:t xml:space="preserve"> accused of behavioral or academic transgressions, </w:t>
      </w:r>
      <w:r w:rsidRPr="002E0FBF">
        <w:t>reasonable efforts shall be made to provide notice of the issue</w:t>
      </w:r>
      <w:r w:rsidR="006313EA">
        <w:t xml:space="preserve"> to the student</w:t>
      </w:r>
      <w:r>
        <w:t xml:space="preserve"> in question</w:t>
      </w:r>
      <w:r w:rsidR="006313EA">
        <w:t xml:space="preserve"> via e-mail</w:t>
      </w:r>
      <w:r>
        <w:t xml:space="preserve">. </w:t>
      </w:r>
      <w:r w:rsidRPr="002E0FBF">
        <w:t>This will be done in a discretionary manner, with the primary consideration that of personal safety.</w:t>
      </w:r>
      <w:r w:rsidR="006313EA">
        <w:t xml:space="preserve"> </w:t>
      </w:r>
    </w:p>
    <w:p w:rsidR="002E0FBF" w:rsidRDefault="002E0FBF" w:rsidP="002E0FBF">
      <w:pPr>
        <w:pStyle w:val="ListParagraph"/>
        <w:numPr>
          <w:ilvl w:val="0"/>
          <w:numId w:val="4"/>
        </w:numPr>
      </w:pPr>
      <w:r w:rsidRPr="00BC40EF">
        <w:rPr>
          <w:highlight w:val="yellow"/>
        </w:rPr>
        <w:t>Policy for Reinstatement into the MPA program after dismissal</w:t>
      </w:r>
      <w:r>
        <w:t xml:space="preserve">:  </w:t>
      </w:r>
      <w:r w:rsidR="00111EDC">
        <w:t xml:space="preserve">Existing policy states: </w:t>
      </w:r>
      <w:r>
        <w:t>“</w:t>
      </w:r>
      <w:r w:rsidRPr="00144ED9">
        <w:t xml:space="preserve">Under extraordinary circumstances following dismissal, </w:t>
      </w:r>
      <w:r w:rsidRPr="002E0FBF">
        <w:rPr>
          <w:b/>
          <w:bCs/>
        </w:rPr>
        <w:t>students may be reinstated,</w:t>
      </w:r>
      <w:r w:rsidRPr="00144ED9">
        <w:t xml:space="preserve"> at the discretion of the MPA Director. If reinstatement is approved, the student must follow the procedure described under the “Leave of Absence” section for “Reactivation of Active Student Status following a Leave of Absence”.</w:t>
      </w:r>
      <w:r>
        <w:t xml:space="preserve"> </w:t>
      </w:r>
      <w:r w:rsidR="00BC40EF" w:rsidRPr="00BC40EF">
        <w:rPr>
          <w:highlight w:val="yellow"/>
          <w:u w:val="single"/>
        </w:rPr>
        <w:t>Discussion</w:t>
      </w:r>
      <w:r w:rsidRPr="00D42524">
        <w:t>:</w:t>
      </w:r>
      <w:r>
        <w:t xml:space="preserve"> Should students be allowed a process for reinstatement after dismissal? If so, should the procedure be more rigorous than a leave of absence?</w:t>
      </w:r>
      <w:r w:rsidR="001247F7">
        <w:t xml:space="preserve"> Consider using the </w:t>
      </w:r>
      <w:hyperlink r:id="rId15" w:history="1">
        <w:r w:rsidR="001247F7" w:rsidRPr="00EA20CD">
          <w:rPr>
            <w:rStyle w:val="Hyperlink"/>
          </w:rPr>
          <w:t>college’s dismissal and readmission policy</w:t>
        </w:r>
      </w:hyperlink>
      <w:r w:rsidR="00EA20CD">
        <w:t xml:space="preserve"> that involves petition to Deans.</w:t>
      </w:r>
      <w:r w:rsidR="001247F7">
        <w:t xml:space="preserve"> </w:t>
      </w:r>
    </w:p>
    <w:p w:rsidR="002E0FBF" w:rsidRDefault="002E0FBF" w:rsidP="002E0FBF">
      <w:pPr>
        <w:pStyle w:val="ListParagraph"/>
        <w:numPr>
          <w:ilvl w:val="0"/>
          <w:numId w:val="4"/>
        </w:numPr>
      </w:pPr>
      <w:r w:rsidRPr="00BC40EF">
        <w:rPr>
          <w:highlight w:val="yellow"/>
        </w:rPr>
        <w:t xml:space="preserve">Suspension from </w:t>
      </w:r>
      <w:r w:rsidR="00D42524" w:rsidRPr="00BC40EF">
        <w:rPr>
          <w:highlight w:val="yellow"/>
        </w:rPr>
        <w:t xml:space="preserve">the MPA </w:t>
      </w:r>
      <w:r w:rsidRPr="00BC40EF">
        <w:rPr>
          <w:highlight w:val="yellow"/>
        </w:rPr>
        <w:t>program</w:t>
      </w:r>
      <w:r>
        <w:t xml:space="preserve">: Students may be suspended from the program for up to one year in the event of academic or behavioral </w:t>
      </w:r>
      <w:r w:rsidR="00D42524">
        <w:t>issues. Students may return to the MPA program</w:t>
      </w:r>
      <w:r>
        <w:t xml:space="preserve"> as outlined in the suspension letter from the MPA Director (academic</w:t>
      </w:r>
      <w:r w:rsidR="00D42524">
        <w:t xml:space="preserve"> issues</w:t>
      </w:r>
      <w:r>
        <w:t>) or</w:t>
      </w:r>
      <w:r w:rsidR="00D42524">
        <w:t xml:space="preserve"> as outlined in the suspension letter from the campus</w:t>
      </w:r>
      <w:r>
        <w:t xml:space="preserve"> Conduct Officer (behavioral</w:t>
      </w:r>
      <w:r w:rsidR="00D42524">
        <w:t xml:space="preserve"> issues</w:t>
      </w:r>
      <w:r>
        <w:t>).</w:t>
      </w:r>
    </w:p>
    <w:p w:rsidR="00D42524" w:rsidRDefault="00D42524" w:rsidP="00D42524">
      <w:pPr>
        <w:pStyle w:val="ListParagraph"/>
        <w:numPr>
          <w:ilvl w:val="0"/>
          <w:numId w:val="4"/>
        </w:numPr>
      </w:pPr>
      <w:r w:rsidRPr="00BC40EF">
        <w:rPr>
          <w:highlight w:val="yellow"/>
        </w:rPr>
        <w:t>Leave of absence</w:t>
      </w:r>
      <w:r>
        <w:t>: Students may petition for release (in extreme situations, must provide documentation)</w:t>
      </w:r>
      <w:r w:rsidR="003E3269">
        <w:t xml:space="preserve"> regarding the </w:t>
      </w:r>
      <w:hyperlink r:id="rId16" w:history="1">
        <w:r w:rsidR="003E3269" w:rsidRPr="003E3269">
          <w:rPr>
            <w:rStyle w:val="Hyperlink"/>
          </w:rPr>
          <w:t>resolution of a satisfactory academic progress problem</w:t>
        </w:r>
      </w:hyperlink>
      <w:r>
        <w:t>. This petition goes to the Professional Judge</w:t>
      </w:r>
      <w:r w:rsidR="003E3269">
        <w:t>ment C</w:t>
      </w:r>
      <w:r>
        <w:t>ommittee. Students may receive</w:t>
      </w:r>
      <w:r w:rsidR="00111EDC">
        <w:t xml:space="preserve"> a </w:t>
      </w:r>
      <w:r>
        <w:t xml:space="preserve">tuition refund and the class may be taken off their transcript as though they had never registered. </w:t>
      </w:r>
    </w:p>
    <w:p w:rsidR="00111EDC" w:rsidRDefault="00DC6304" w:rsidP="00111EDC">
      <w:pPr>
        <w:pStyle w:val="ListParagraph"/>
        <w:numPr>
          <w:ilvl w:val="0"/>
          <w:numId w:val="4"/>
        </w:numPr>
      </w:pPr>
      <w:r w:rsidRPr="00DC6304">
        <w:rPr>
          <w:highlight w:val="yellow"/>
        </w:rPr>
        <w:t>Dismissing a student from class</w:t>
      </w:r>
      <w:r>
        <w:t xml:space="preserve">: Students may be excused from class per faculty discretion for the class meeting or for the entire quarter for the following reasons </w:t>
      </w:r>
      <w:r w:rsidR="00111EDC">
        <w:t>(</w:t>
      </w:r>
      <w:r>
        <w:t>including but not limited to</w:t>
      </w:r>
      <w:r w:rsidR="00111EDC">
        <w:t>)</w:t>
      </w:r>
      <w:r>
        <w:t xml:space="preserve"> lack of attendance, disruptive behavior, attending class under the influence of alcohol or drugs, etc. </w:t>
      </w:r>
      <w:r w:rsidR="006F7B7E">
        <w:t>If student is issued</w:t>
      </w:r>
      <w:r w:rsidR="006313EA">
        <w:t xml:space="preserve"> notice </w:t>
      </w:r>
      <w:r w:rsidR="006F7B7E">
        <w:t xml:space="preserve">from faculty that </w:t>
      </w:r>
      <w:r w:rsidR="006313EA">
        <w:t xml:space="preserve">no credit (NCR) </w:t>
      </w:r>
      <w:r w:rsidR="006F7B7E">
        <w:t xml:space="preserve">will be issued and the quarter has not ended, faculty may dismiss the student from class. </w:t>
      </w:r>
      <w:r>
        <w:t xml:space="preserve">If the student fails to comply with the faculty request to leave the class, this will fall under the campus purview of “failure to comply with a college official” and campus </w:t>
      </w:r>
      <w:r w:rsidR="00111EDC">
        <w:t>P</w:t>
      </w:r>
      <w:r>
        <w:t>olice</w:t>
      </w:r>
      <w:r w:rsidR="00111EDC">
        <w:t xml:space="preserve"> Services</w:t>
      </w:r>
      <w:r>
        <w:t xml:space="preserve"> or</w:t>
      </w:r>
      <w:r w:rsidR="00111EDC">
        <w:t xml:space="preserve"> the</w:t>
      </w:r>
      <w:r>
        <w:t xml:space="preserve"> campus Conduct Officer may be contacted.</w:t>
      </w:r>
    </w:p>
    <w:p w:rsidR="00CA1172" w:rsidRDefault="007769EE" w:rsidP="00111EDC">
      <w:pPr>
        <w:pStyle w:val="ListParagraph"/>
        <w:numPr>
          <w:ilvl w:val="0"/>
          <w:numId w:val="4"/>
        </w:numPr>
      </w:pPr>
      <w:r w:rsidRPr="00111EDC">
        <w:rPr>
          <w:highlight w:val="yellow"/>
        </w:rPr>
        <w:t>Conflict Resolution</w:t>
      </w:r>
      <w:r w:rsidRPr="006313EA">
        <w:rPr>
          <w:highlight w:val="yellow"/>
        </w:rPr>
        <w:t xml:space="preserve">. </w:t>
      </w:r>
      <w:r w:rsidR="006313EA" w:rsidRPr="006313EA">
        <w:rPr>
          <w:highlight w:val="yellow"/>
        </w:rPr>
        <w:t>Option A)</w:t>
      </w:r>
      <w:r w:rsidR="006313EA">
        <w:t xml:space="preserve"> </w:t>
      </w:r>
      <w:r>
        <w:t>Example</w:t>
      </w:r>
      <w:r w:rsidR="001247F7">
        <w:t xml:space="preserve"> adapted from current syllabus in accordance with MPA Grievance Procedures, TESC Social Contract, and TESC Student Conduct Code</w:t>
      </w:r>
      <w:r>
        <w:t>: “T</w:t>
      </w:r>
      <w:r w:rsidRPr="007769EE">
        <w:t>o promote a cooperative, supportive a</w:t>
      </w:r>
      <w:r w:rsidR="00270015">
        <w:t>tmosphere within the community, allow</w:t>
      </w:r>
      <w:r w:rsidRPr="007769EE">
        <w:t xml:space="preserve"> opportunity for</w:t>
      </w:r>
      <w:r w:rsidR="00270015">
        <w:t xml:space="preserve"> self-reflection and expression, use high standards in reading</w:t>
      </w:r>
      <w:r w:rsidRPr="007769EE">
        <w:t>,</w:t>
      </w:r>
      <w:r w:rsidR="00270015">
        <w:t xml:space="preserve"> writing, and seminar, we will</w:t>
      </w:r>
      <w:r w:rsidRPr="007769EE">
        <w:t xml:space="preserve"> handle all disputes in a spirit of goodwill. </w:t>
      </w:r>
      <w:r w:rsidR="00270015" w:rsidRPr="00111EDC">
        <w:rPr>
          <w:b/>
          <w:u w:val="single"/>
        </w:rPr>
        <w:t>First:</w:t>
      </w:r>
      <w:r w:rsidR="00270015">
        <w:t xml:space="preserve"> </w:t>
      </w:r>
      <w:r w:rsidRPr="007769EE">
        <w:t>Discuss any problems involving others in the learning community directly with the individual</w:t>
      </w:r>
      <w:r>
        <w:t>(</w:t>
      </w:r>
      <w:r w:rsidRPr="007769EE">
        <w:t>s</w:t>
      </w:r>
      <w:r>
        <w:t>)</w:t>
      </w:r>
      <w:r w:rsidR="00270015">
        <w:t xml:space="preserve"> involved</w:t>
      </w:r>
      <w:r w:rsidR="006313EA">
        <w:t xml:space="preserve"> (if the students feel safe to do so)</w:t>
      </w:r>
      <w:r w:rsidR="00270015">
        <w:t xml:space="preserve">. </w:t>
      </w:r>
      <w:r w:rsidRPr="007769EE">
        <w:t xml:space="preserve">Possessing respect for others is fundamental to an open, free, and educational dialogue. All students are expected to </w:t>
      </w:r>
      <w:r w:rsidRPr="007769EE">
        <w:lastRenderedPageBreak/>
        <w:t>s</w:t>
      </w:r>
      <w:r>
        <w:t>upport and contribute to a well-</w:t>
      </w:r>
      <w:r w:rsidRPr="007769EE">
        <w:t xml:space="preserve">functioning MPA classroom and learning community. </w:t>
      </w:r>
      <w:r w:rsidR="00270015" w:rsidRPr="00111EDC">
        <w:rPr>
          <w:b/>
          <w:u w:val="single"/>
        </w:rPr>
        <w:t>Second</w:t>
      </w:r>
      <w:r w:rsidR="00270015">
        <w:t xml:space="preserve">: If </w:t>
      </w:r>
      <w:r w:rsidR="006313EA">
        <w:t xml:space="preserve">conflict coaching is needed or </w:t>
      </w:r>
      <w:r w:rsidR="00270015">
        <w:t>an outside third party is needed, m</w:t>
      </w:r>
      <w:r>
        <w:t xml:space="preserve">ediation </w:t>
      </w:r>
      <w:r w:rsidR="00270015">
        <w:t>resources may be accessed through the</w:t>
      </w:r>
      <w:r>
        <w:t xml:space="preserve"> </w:t>
      </w:r>
      <w:hyperlink r:id="rId17" w:history="1">
        <w:r w:rsidRPr="007769EE">
          <w:rPr>
            <w:rStyle w:val="Hyperlink"/>
          </w:rPr>
          <w:t>CARE Network</w:t>
        </w:r>
      </w:hyperlink>
      <w:r>
        <w:t>.</w:t>
      </w:r>
      <w:r w:rsidR="001247F7">
        <w:t xml:space="preserve"> Finally, consult </w:t>
      </w:r>
      <w:hyperlink r:id="rId18" w:history="1">
        <w:r w:rsidR="001247F7" w:rsidRPr="001247F7">
          <w:rPr>
            <w:rStyle w:val="Hyperlink"/>
          </w:rPr>
          <w:t>MPA grievance procedures</w:t>
        </w:r>
      </w:hyperlink>
      <w:r w:rsidR="001247F7">
        <w:t>.</w:t>
      </w:r>
      <w:r w:rsidR="00270015">
        <w:t>”</w:t>
      </w:r>
    </w:p>
    <w:p w:rsidR="006F7B7E" w:rsidRPr="006F7B7E" w:rsidRDefault="006313EA" w:rsidP="006F7B7E">
      <w:pPr>
        <w:rPr>
          <w:rFonts w:eastAsia="Calibri" w:cs="Times New Roman"/>
        </w:rPr>
      </w:pPr>
      <w:proofErr w:type="gramStart"/>
      <w:r w:rsidRPr="006F7B7E">
        <w:rPr>
          <w:highlight w:val="yellow"/>
        </w:rPr>
        <w:t>Conflict Resolution.</w:t>
      </w:r>
      <w:proofErr w:type="gramEnd"/>
      <w:r w:rsidRPr="006F7B7E">
        <w:rPr>
          <w:highlight w:val="yellow"/>
        </w:rPr>
        <w:t xml:space="preserve"> Option B)</w:t>
      </w:r>
      <w:r w:rsidRPr="006F7B7E">
        <w:t xml:space="preserve"> </w:t>
      </w:r>
      <w:r w:rsidR="006F7B7E" w:rsidRPr="006F7B7E">
        <w:rPr>
          <w:rFonts w:eastAsia="Calibri" w:cs="Times New Roman"/>
        </w:rPr>
        <w:t>Conflict will occur when people from varied backgrounds with differing beliefs, cultures, and social norms come together. Conflict should be welcomed as an opportunity to expand thinking and create space for critical inquiry.  When conflict occurs, members of the community will do the following, as appropriate:</w:t>
      </w:r>
    </w:p>
    <w:p w:rsidR="006F7B7E" w:rsidRPr="006F7B7E" w:rsidRDefault="006F7B7E" w:rsidP="006F7B7E">
      <w:pPr>
        <w:numPr>
          <w:ilvl w:val="0"/>
          <w:numId w:val="6"/>
        </w:numPr>
        <w:spacing w:after="0" w:line="480" w:lineRule="auto"/>
        <w:rPr>
          <w:rFonts w:eastAsia="Calibri" w:cs="Times New Roman"/>
        </w:rPr>
      </w:pPr>
      <w:r w:rsidRPr="006F7B7E">
        <w:rPr>
          <w:rFonts w:eastAsia="Calibri" w:cs="Times New Roman"/>
        </w:rPr>
        <w:t>Focus on ideas &amp; behaviors and avoid personal attacks while striving for resolution.</w:t>
      </w:r>
    </w:p>
    <w:p w:rsidR="006F7B7E" w:rsidRPr="006F7B7E" w:rsidRDefault="006F7B7E" w:rsidP="006F7B7E">
      <w:pPr>
        <w:numPr>
          <w:ilvl w:val="0"/>
          <w:numId w:val="6"/>
        </w:numPr>
        <w:spacing w:after="0" w:line="480" w:lineRule="auto"/>
        <w:rPr>
          <w:rFonts w:eastAsia="Calibri" w:cs="Times New Roman"/>
        </w:rPr>
      </w:pPr>
      <w:r w:rsidRPr="006F7B7E">
        <w:rPr>
          <w:rFonts w:eastAsia="Calibri" w:cs="Times New Roman"/>
        </w:rPr>
        <w:t>Respectfully contact the other party before the situation escalates.</w:t>
      </w:r>
    </w:p>
    <w:p w:rsidR="006F7B7E" w:rsidRPr="006F7B7E" w:rsidRDefault="006F7B7E" w:rsidP="006F7B7E">
      <w:pPr>
        <w:numPr>
          <w:ilvl w:val="0"/>
          <w:numId w:val="6"/>
        </w:numPr>
        <w:spacing w:after="0" w:line="240" w:lineRule="auto"/>
        <w:rPr>
          <w:rFonts w:eastAsia="Calibri" w:cs="Times New Roman"/>
        </w:rPr>
      </w:pPr>
      <w:r w:rsidRPr="006F7B7E">
        <w:rPr>
          <w:rFonts w:eastAsia="Calibri" w:cs="Times New Roman"/>
        </w:rPr>
        <w:t xml:space="preserve">When addressing conflict, use I messages and discuss behavior - avoid inflammatory language. </w:t>
      </w:r>
    </w:p>
    <w:p w:rsidR="006F7B7E" w:rsidRPr="006F7B7E" w:rsidRDefault="006F7B7E" w:rsidP="006F7B7E">
      <w:pPr>
        <w:spacing w:after="0" w:line="240" w:lineRule="auto"/>
        <w:ind w:left="360"/>
        <w:rPr>
          <w:rFonts w:eastAsia="Calibri" w:cs="Times New Roman"/>
        </w:rPr>
      </w:pPr>
    </w:p>
    <w:p w:rsidR="006F7B7E" w:rsidRPr="006F7B7E" w:rsidRDefault="006F7B7E" w:rsidP="006F7B7E">
      <w:pPr>
        <w:numPr>
          <w:ilvl w:val="0"/>
          <w:numId w:val="6"/>
        </w:numPr>
        <w:spacing w:after="0" w:line="240" w:lineRule="auto"/>
        <w:rPr>
          <w:rFonts w:eastAsia="Calibri" w:cs="Times New Roman"/>
        </w:rPr>
      </w:pPr>
      <w:r w:rsidRPr="006F7B7E">
        <w:rPr>
          <w:rFonts w:eastAsia="Calibri" w:cs="Times New Roman"/>
        </w:rPr>
        <w:t>If the conflict cannot be resolved directly or is of a serious nature, contact the faculty. If the conflict is with the faculty, contact the MPA director.</w:t>
      </w:r>
    </w:p>
    <w:p w:rsidR="006F7B7E" w:rsidRPr="006F7B7E" w:rsidRDefault="006F7B7E" w:rsidP="006F7B7E">
      <w:pPr>
        <w:spacing w:after="0" w:line="240" w:lineRule="auto"/>
        <w:rPr>
          <w:rFonts w:eastAsia="Calibri" w:cs="Times New Roman"/>
        </w:rPr>
      </w:pPr>
    </w:p>
    <w:p w:rsidR="006F7B7E" w:rsidRPr="006F7B7E" w:rsidRDefault="006F7B7E" w:rsidP="006F7B7E">
      <w:pPr>
        <w:numPr>
          <w:ilvl w:val="0"/>
          <w:numId w:val="6"/>
        </w:numPr>
        <w:spacing w:after="0" w:line="240" w:lineRule="auto"/>
        <w:rPr>
          <w:rFonts w:eastAsia="Calibri" w:cs="Times New Roman"/>
        </w:rPr>
      </w:pPr>
      <w:r w:rsidRPr="006F7B7E">
        <w:rPr>
          <w:rFonts w:eastAsia="Calibri" w:cs="Times New Roman"/>
        </w:rPr>
        <w:t>If the conflict is not resolvable, or is of a serious nature, contact the MPA director</w:t>
      </w:r>
      <w:proofErr w:type="gramStart"/>
      <w:r w:rsidRPr="006F7B7E">
        <w:rPr>
          <w:rFonts w:eastAsia="Calibri" w:cs="Times New Roman"/>
        </w:rPr>
        <w:t>,</w:t>
      </w:r>
      <w:r w:rsidRPr="006F7B7E">
        <w:rPr>
          <w:rFonts w:eastAsia="Calibri" w:cs="Times New Roman"/>
          <w:color w:val="FF0000"/>
        </w:rPr>
        <w:t xml:space="preserve"> </w:t>
      </w:r>
      <w:r w:rsidRPr="006F7B7E">
        <w:rPr>
          <w:rFonts w:eastAsia="Calibri" w:cs="Times New Roman"/>
        </w:rPr>
        <w:t> and</w:t>
      </w:r>
      <w:proofErr w:type="gramEnd"/>
      <w:r w:rsidRPr="006F7B7E">
        <w:rPr>
          <w:rFonts w:eastAsia="Calibri" w:cs="Times New Roman"/>
        </w:rPr>
        <w:t xml:space="preserve"> only after these steps have been taken –then contact the Provost.</w:t>
      </w:r>
    </w:p>
    <w:p w:rsidR="006F7B7E" w:rsidRPr="006F7B7E" w:rsidRDefault="006F7B7E" w:rsidP="006F7B7E">
      <w:pPr>
        <w:spacing w:after="0" w:line="240" w:lineRule="auto"/>
        <w:ind w:left="360"/>
        <w:rPr>
          <w:rFonts w:eastAsia="Calibri" w:cs="Times New Roman"/>
        </w:rPr>
      </w:pPr>
    </w:p>
    <w:p w:rsidR="006F7B7E" w:rsidRPr="006F7B7E" w:rsidRDefault="006F7B7E" w:rsidP="006F7B7E">
      <w:pPr>
        <w:spacing w:after="0" w:line="240" w:lineRule="auto"/>
        <w:rPr>
          <w:rFonts w:eastAsia="Calibri" w:cs="Times New Roman"/>
        </w:rPr>
      </w:pPr>
      <w:r w:rsidRPr="006F7B7E">
        <w:rPr>
          <w:rFonts w:eastAsia="Calibri" w:cs="Times New Roman"/>
        </w:rPr>
        <w:t>In the Tribal Cohort Indigenous Knowledge is valued and forms the foundation for conflict resolution. Cohort members are encouraged to use a Talking Circle as a method to enhancing community, facilitated by someone familiar with its process.</w:t>
      </w:r>
    </w:p>
    <w:p w:rsidR="006F7B7E" w:rsidRPr="006F7B7E" w:rsidRDefault="006F7B7E" w:rsidP="006F7B7E">
      <w:pPr>
        <w:spacing w:after="0" w:line="240" w:lineRule="auto"/>
        <w:rPr>
          <w:rFonts w:eastAsia="Calibri" w:cs="Times New Roman"/>
        </w:rPr>
      </w:pPr>
    </w:p>
    <w:p w:rsidR="006F7B7E" w:rsidRPr="006F7B7E" w:rsidRDefault="006F7B7E" w:rsidP="006F7B7E">
      <w:pPr>
        <w:spacing w:after="0" w:line="240" w:lineRule="auto"/>
        <w:rPr>
          <w:rFonts w:eastAsia="Calibri" w:cs="Times New Roman"/>
        </w:rPr>
      </w:pPr>
      <w:r w:rsidRPr="006F7B7E">
        <w:rPr>
          <w:rFonts w:eastAsia="Calibri" w:cs="Times New Roman"/>
        </w:rPr>
        <w:t>In all cases the CARE Network (Conflict Assistance, Resources &amp; Empowerment) is a campus resource that can provide conflict coaching, 3</w:t>
      </w:r>
      <w:r w:rsidRPr="006F7B7E">
        <w:rPr>
          <w:rFonts w:eastAsia="Calibri" w:cs="Times New Roman"/>
          <w:vertAlign w:val="superscript"/>
        </w:rPr>
        <w:t>rd</w:t>
      </w:r>
      <w:r w:rsidRPr="006F7B7E">
        <w:rPr>
          <w:rFonts w:eastAsia="Calibri" w:cs="Times New Roman"/>
        </w:rPr>
        <w:t xml:space="preserve"> party mediation, and skill development. </w:t>
      </w:r>
      <w:r>
        <w:rPr>
          <w:rFonts w:eastAsia="Calibri" w:cs="Times New Roman"/>
        </w:rPr>
        <w:t xml:space="preserve"> Contact the CARE Network at</w:t>
      </w:r>
      <w:r w:rsidRPr="006F7B7E">
        <w:rPr>
          <w:rFonts w:eastAsia="Calibri" w:cs="Times New Roman"/>
        </w:rPr>
        <w:t xml:space="preserve"> </w:t>
      </w:r>
      <w:hyperlink r:id="rId19" w:history="1">
        <w:r w:rsidRPr="006F7B7E">
          <w:rPr>
            <w:rFonts w:eastAsia="Calibri" w:cs="Times New Roman"/>
            <w:color w:val="0000FF"/>
            <w:u w:val="single"/>
          </w:rPr>
          <w:t>Carenetwork@evergreen.edu</w:t>
        </w:r>
      </w:hyperlink>
      <w:r>
        <w:rPr>
          <w:rFonts w:eastAsia="Calibri" w:cs="Times New Roman"/>
        </w:rPr>
        <w:t xml:space="preserve">. </w:t>
      </w:r>
      <w:r w:rsidRPr="006F7B7E">
        <w:rPr>
          <w:rFonts w:eastAsia="Calibri" w:cs="Times New Roman"/>
        </w:rPr>
        <w:t xml:space="preserve">In issues of safety or violation of the law reports can be made to Police Services directly or using the online reporting system. </w:t>
      </w:r>
    </w:p>
    <w:p w:rsidR="006313EA" w:rsidRPr="006F7B7E" w:rsidRDefault="006313EA" w:rsidP="006F7B7E">
      <w:pPr>
        <w:pStyle w:val="ListParagraph"/>
      </w:pPr>
    </w:p>
    <w:sectPr w:rsidR="006313EA" w:rsidRPr="006F7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46C3B"/>
    <w:multiLevelType w:val="hybridMultilevel"/>
    <w:tmpl w:val="81041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D07DA"/>
    <w:multiLevelType w:val="hybridMultilevel"/>
    <w:tmpl w:val="84AAF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50810"/>
    <w:multiLevelType w:val="hybridMultilevel"/>
    <w:tmpl w:val="41DAD3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B7C7A2B"/>
    <w:multiLevelType w:val="multilevel"/>
    <w:tmpl w:val="26482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0672663"/>
    <w:multiLevelType w:val="hybridMultilevel"/>
    <w:tmpl w:val="D33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D5D60"/>
    <w:multiLevelType w:val="multilevel"/>
    <w:tmpl w:val="01E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1D"/>
    <w:rsid w:val="00111EDC"/>
    <w:rsid w:val="001247F7"/>
    <w:rsid w:val="00144ED9"/>
    <w:rsid w:val="002222B8"/>
    <w:rsid w:val="00270015"/>
    <w:rsid w:val="002A5B11"/>
    <w:rsid w:val="002E0FBF"/>
    <w:rsid w:val="002E1783"/>
    <w:rsid w:val="00390D81"/>
    <w:rsid w:val="003E3269"/>
    <w:rsid w:val="003E6F85"/>
    <w:rsid w:val="003F3115"/>
    <w:rsid w:val="00563F00"/>
    <w:rsid w:val="006313EA"/>
    <w:rsid w:val="006A4409"/>
    <w:rsid w:val="006F7B7E"/>
    <w:rsid w:val="007219CA"/>
    <w:rsid w:val="0077619F"/>
    <w:rsid w:val="007769EE"/>
    <w:rsid w:val="008A62DD"/>
    <w:rsid w:val="00AB5674"/>
    <w:rsid w:val="00B3735E"/>
    <w:rsid w:val="00BB401D"/>
    <w:rsid w:val="00BC40EF"/>
    <w:rsid w:val="00C15282"/>
    <w:rsid w:val="00CA1172"/>
    <w:rsid w:val="00D42524"/>
    <w:rsid w:val="00D950F1"/>
    <w:rsid w:val="00DC6304"/>
    <w:rsid w:val="00EA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D81"/>
    <w:rPr>
      <w:color w:val="0000FF" w:themeColor="hyperlink"/>
      <w:u w:val="single"/>
    </w:rPr>
  </w:style>
  <w:style w:type="paragraph" w:styleId="ListParagraph">
    <w:name w:val="List Paragraph"/>
    <w:basedOn w:val="Normal"/>
    <w:uiPriority w:val="34"/>
    <w:qFormat/>
    <w:rsid w:val="00C15282"/>
    <w:pPr>
      <w:ind w:left="720"/>
      <w:contextualSpacing/>
    </w:pPr>
  </w:style>
  <w:style w:type="character" w:styleId="FollowedHyperlink">
    <w:name w:val="FollowedHyperlink"/>
    <w:basedOn w:val="DefaultParagraphFont"/>
    <w:uiPriority w:val="99"/>
    <w:semiHidden/>
    <w:unhideWhenUsed/>
    <w:rsid w:val="00D950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D81"/>
    <w:rPr>
      <w:color w:val="0000FF" w:themeColor="hyperlink"/>
      <w:u w:val="single"/>
    </w:rPr>
  </w:style>
  <w:style w:type="paragraph" w:styleId="ListParagraph">
    <w:name w:val="List Paragraph"/>
    <w:basedOn w:val="Normal"/>
    <w:uiPriority w:val="34"/>
    <w:qFormat/>
    <w:rsid w:val="00C15282"/>
    <w:pPr>
      <w:ind w:left="720"/>
      <w:contextualSpacing/>
    </w:pPr>
  </w:style>
  <w:style w:type="character" w:styleId="FollowedHyperlink">
    <w:name w:val="FollowedHyperlink"/>
    <w:basedOn w:val="DefaultParagraphFont"/>
    <w:uiPriority w:val="99"/>
    <w:semiHidden/>
    <w:unhideWhenUsed/>
    <w:rsid w:val="00D95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4266">
      <w:bodyDiv w:val="1"/>
      <w:marLeft w:val="0"/>
      <w:marRight w:val="0"/>
      <w:marTop w:val="0"/>
      <w:marBottom w:val="0"/>
      <w:divBdr>
        <w:top w:val="none" w:sz="0" w:space="0" w:color="auto"/>
        <w:left w:val="none" w:sz="0" w:space="0" w:color="auto"/>
        <w:bottom w:val="none" w:sz="0" w:space="0" w:color="auto"/>
        <w:right w:val="none" w:sz="0" w:space="0" w:color="auto"/>
      </w:divBdr>
      <w:divsChild>
        <w:div w:id="1049108522">
          <w:marLeft w:val="0"/>
          <w:marRight w:val="0"/>
          <w:marTop w:val="0"/>
          <w:marBottom w:val="0"/>
          <w:divBdr>
            <w:top w:val="none" w:sz="0" w:space="0" w:color="auto"/>
            <w:left w:val="none" w:sz="0" w:space="0" w:color="auto"/>
            <w:bottom w:val="none" w:sz="0" w:space="0" w:color="auto"/>
            <w:right w:val="none" w:sz="0" w:space="0" w:color="auto"/>
          </w:divBdr>
          <w:divsChild>
            <w:div w:id="987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69315">
      <w:bodyDiv w:val="1"/>
      <w:marLeft w:val="0"/>
      <w:marRight w:val="0"/>
      <w:marTop w:val="0"/>
      <w:marBottom w:val="0"/>
      <w:divBdr>
        <w:top w:val="none" w:sz="0" w:space="0" w:color="auto"/>
        <w:left w:val="none" w:sz="0" w:space="0" w:color="auto"/>
        <w:bottom w:val="none" w:sz="0" w:space="0" w:color="auto"/>
        <w:right w:val="none" w:sz="0" w:space="0" w:color="auto"/>
      </w:divBdr>
    </w:div>
    <w:div w:id="387270339">
      <w:bodyDiv w:val="1"/>
      <w:marLeft w:val="0"/>
      <w:marRight w:val="0"/>
      <w:marTop w:val="0"/>
      <w:marBottom w:val="0"/>
      <w:divBdr>
        <w:top w:val="none" w:sz="0" w:space="0" w:color="auto"/>
        <w:left w:val="none" w:sz="0" w:space="0" w:color="auto"/>
        <w:bottom w:val="none" w:sz="0" w:space="0" w:color="auto"/>
        <w:right w:val="none" w:sz="0" w:space="0" w:color="auto"/>
      </w:divBdr>
    </w:div>
    <w:div w:id="1312759013">
      <w:bodyDiv w:val="1"/>
      <w:marLeft w:val="0"/>
      <w:marRight w:val="0"/>
      <w:marTop w:val="0"/>
      <w:marBottom w:val="0"/>
      <w:divBdr>
        <w:top w:val="none" w:sz="0" w:space="0" w:color="auto"/>
        <w:left w:val="none" w:sz="0" w:space="0" w:color="auto"/>
        <w:bottom w:val="none" w:sz="0" w:space="0" w:color="auto"/>
        <w:right w:val="none" w:sz="0" w:space="0" w:color="auto"/>
      </w:divBdr>
      <w:divsChild>
        <w:div w:id="1128354720">
          <w:marLeft w:val="0"/>
          <w:marRight w:val="0"/>
          <w:marTop w:val="0"/>
          <w:marBottom w:val="0"/>
          <w:divBdr>
            <w:top w:val="none" w:sz="0" w:space="0" w:color="auto"/>
            <w:left w:val="none" w:sz="0" w:space="0" w:color="auto"/>
            <w:bottom w:val="none" w:sz="0" w:space="0" w:color="auto"/>
            <w:right w:val="none" w:sz="0" w:space="0" w:color="auto"/>
          </w:divBdr>
          <w:divsChild>
            <w:div w:id="6033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174" TargetMode="External"/><Relationship Id="rId13" Type="http://schemas.openxmlformats.org/officeDocument/2006/relationships/hyperlink" Target="http://www.evergreen.edu/financialaid/docs/SAP-Policy-GRAD.pdf" TargetMode="External"/><Relationship Id="rId18" Type="http://schemas.openxmlformats.org/officeDocument/2006/relationships/hyperlink" Target="http://evergreen.edu/mpa/studenthandbook/grievance.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apps.leg.wa.gov/wac/default.aspx?cite=174-123-070" TargetMode="External"/><Relationship Id="rId12" Type="http://schemas.openxmlformats.org/officeDocument/2006/relationships/hyperlink" Target="http://evergreen.edu/studentaffairs/rightsandresponsibilities.htm" TargetMode="External"/><Relationship Id="rId17" Type="http://schemas.openxmlformats.org/officeDocument/2006/relationships/hyperlink" Target="http://evergreen.edu/carenetwork/mediation.htm" TargetMode="External"/><Relationship Id="rId2" Type="http://schemas.openxmlformats.org/officeDocument/2006/relationships/styles" Target="styles.xml"/><Relationship Id="rId16" Type="http://schemas.openxmlformats.org/officeDocument/2006/relationships/hyperlink" Target="http://www.evergreen.edu/financialaid/sap-resolution.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vergreen.edu/mpa/studenthandbook/home.htm" TargetMode="External"/><Relationship Id="rId11" Type="http://schemas.openxmlformats.org/officeDocument/2006/relationships/hyperlink" Target="http://www.evergreen.edu/financialaid/sap-resolution.htm" TargetMode="External"/><Relationship Id="rId5" Type="http://schemas.openxmlformats.org/officeDocument/2006/relationships/webSettings" Target="webSettings.xml"/><Relationship Id="rId15" Type="http://schemas.openxmlformats.org/officeDocument/2006/relationships/hyperlink" Target="http://evergreen.edu/registration/policies.htm" TargetMode="External"/><Relationship Id="rId10" Type="http://schemas.openxmlformats.org/officeDocument/2006/relationships/hyperlink" Target="http://www.evergreen.edu/studentaffairs/rightsandresponsibilities.htm" TargetMode="External"/><Relationship Id="rId19" Type="http://schemas.openxmlformats.org/officeDocument/2006/relationships/hyperlink" Target="mailto:Carenetwork@evergreen.edu" TargetMode="External"/><Relationship Id="rId4" Type="http://schemas.openxmlformats.org/officeDocument/2006/relationships/settings" Target="settings.xml"/><Relationship Id="rId9" Type="http://schemas.openxmlformats.org/officeDocument/2006/relationships/hyperlink" Target="http://evergreen.edu/registration/policies.htm" TargetMode="External"/><Relationship Id="rId14" Type="http://schemas.openxmlformats.org/officeDocument/2006/relationships/hyperlink" Target="http://collab.evergreen.edu/policie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Amy</dc:creator>
  <cp:lastModifiedBy>Gould, Amy</cp:lastModifiedBy>
  <cp:revision>2</cp:revision>
  <dcterms:created xsi:type="dcterms:W3CDTF">2015-04-24T21:58:00Z</dcterms:created>
  <dcterms:modified xsi:type="dcterms:W3CDTF">2015-04-24T21:58:00Z</dcterms:modified>
</cp:coreProperties>
</file>