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C29" w:rsidRPr="00A90C29" w:rsidRDefault="00A90C29" w:rsidP="00A90C29">
      <w:pPr>
        <w:jc w:val="center"/>
        <w:rPr>
          <w:b/>
          <w:u w:val="single"/>
        </w:rPr>
      </w:pPr>
      <w:r w:rsidRPr="00A90C29">
        <w:rPr>
          <w:b/>
          <w:u w:val="single"/>
        </w:rPr>
        <w:t>MPA Student Handbook Changes</w:t>
      </w:r>
      <w:bookmarkStart w:id="0" w:name="_GoBack"/>
      <w:bookmarkEnd w:id="0"/>
    </w:p>
    <w:p w:rsidR="00A90C29" w:rsidRDefault="00A90C29" w:rsidP="00A90C29">
      <w:r>
        <w:t>Adopted via e-mail 5/22</w:t>
      </w:r>
    </w:p>
    <w:p w:rsidR="00A90C29" w:rsidRPr="00A90C29" w:rsidRDefault="00A90C29" w:rsidP="00A90C29">
      <w:r w:rsidRPr="00A90C29">
        <w:t>ILCs:</w:t>
      </w:r>
    </w:p>
    <w:p w:rsidR="00A90C29" w:rsidRPr="00A90C29" w:rsidRDefault="00A90C29" w:rsidP="00A90C29">
      <w:r w:rsidRPr="00A90C29">
        <w:t xml:space="preserve">"It is important that students have an opportunity to become oriented to the MPA program before undertaking an individual learning contract. </w:t>
      </w:r>
      <w:r w:rsidRPr="00A90C29">
        <w:rPr>
          <w:b/>
          <w:bCs/>
        </w:rPr>
        <w:t xml:space="preserve">Students must complete one (1) quarter </w:t>
      </w:r>
      <w:r w:rsidRPr="00A90C29">
        <w:t xml:space="preserve">of MPA first year core coursework before registering for an individual learning contract, so that typically students must wait until the </w:t>
      </w:r>
      <w:proofErr w:type="gramStart"/>
      <w:r w:rsidRPr="00A90C29">
        <w:rPr>
          <w:b/>
          <w:bCs/>
        </w:rPr>
        <w:t>Winter</w:t>
      </w:r>
      <w:proofErr w:type="gramEnd"/>
      <w:r w:rsidRPr="00A90C29">
        <w:rPr>
          <w:b/>
          <w:bCs/>
        </w:rPr>
        <w:t xml:space="preserve"> quarter </w:t>
      </w:r>
      <w:r w:rsidRPr="00A90C29">
        <w:t>of their first year to undertake a graduate individual learning contract."</w:t>
      </w:r>
    </w:p>
    <w:p w:rsidR="00A90C29" w:rsidRPr="00A90C29" w:rsidRDefault="00A90C29" w:rsidP="00A90C29">
      <w:r w:rsidRPr="00A90C29">
        <w:t>Internships:</w:t>
      </w:r>
    </w:p>
    <w:p w:rsidR="00A90C29" w:rsidRDefault="00A90C29" w:rsidP="00A90C29">
      <w:r w:rsidRPr="00A90C29">
        <w:t xml:space="preserve">"It is important that students have an opportunity to become amply oriented to the MPA program before undertaking a credit-generating internship. </w:t>
      </w:r>
      <w:r w:rsidRPr="00A90C29">
        <w:rPr>
          <w:b/>
          <w:bCs/>
        </w:rPr>
        <w:t>Students must complete two (1) quarter</w:t>
      </w:r>
      <w:r w:rsidRPr="00A90C29">
        <w:t xml:space="preserve"> of MPA first year core coursework before registering for a credit-generating internship, so that typically students must wait until the </w:t>
      </w:r>
      <w:r w:rsidRPr="00A90C29">
        <w:rPr>
          <w:b/>
          <w:bCs/>
        </w:rPr>
        <w:t xml:space="preserve">Winter quarter </w:t>
      </w:r>
      <w:r w:rsidRPr="00A90C29">
        <w:t>of their first year to undertake a graduate internship contract."</w:t>
      </w:r>
    </w:p>
    <w:p w:rsidR="00A90C29" w:rsidRPr="00A90C29" w:rsidRDefault="00A90C29" w:rsidP="00A90C29">
      <w:r>
        <w:t>Adopted via e-mail 5/26</w:t>
      </w:r>
    </w:p>
    <w:p w:rsidR="00A90C29" w:rsidRPr="00390D81" w:rsidRDefault="00A90C29" w:rsidP="00A90C29">
      <w:pPr>
        <w:rPr>
          <w:b/>
          <w:u w:val="single"/>
        </w:rPr>
      </w:pPr>
      <w:r w:rsidRPr="00390D81">
        <w:rPr>
          <w:b/>
          <w:u w:val="single"/>
        </w:rPr>
        <w:t>Academic Dishonesty</w:t>
      </w:r>
    </w:p>
    <w:p w:rsidR="00A90C29" w:rsidRPr="00390D81" w:rsidRDefault="00A90C29" w:rsidP="00A90C29">
      <w:r w:rsidRPr="00A13B28">
        <w:rPr>
          <w:i/>
          <w:u w:val="single"/>
        </w:rPr>
        <w:t>Policy</w:t>
      </w:r>
      <w:r>
        <w:t xml:space="preserve">: </w:t>
      </w:r>
      <w:r w:rsidRPr="00390D81">
        <w:t>Academic honesty is a necessity in a learning community. It makes coherent discourse possible, and is a necessary condition for all sharing, dialogue and evaluation.</w:t>
      </w:r>
      <w:r>
        <w:t xml:space="preserve"> </w:t>
      </w:r>
      <w:r w:rsidRPr="00390D81">
        <w:t xml:space="preserve">Academic dishonesty is a violation of the campus </w:t>
      </w:r>
      <w:r w:rsidRPr="00A13B28">
        <w:rPr>
          <w:bCs/>
        </w:rPr>
        <w:t>Student Conduct Code</w:t>
      </w:r>
      <w:r w:rsidRPr="00A13B28">
        <w:t xml:space="preserve"> </w:t>
      </w:r>
      <w:proofErr w:type="gramStart"/>
      <w:r w:rsidRPr="00A13B28">
        <w:t xml:space="preserve">( </w:t>
      </w:r>
      <w:proofErr w:type="gramEnd"/>
      <w:r>
        <w:fldChar w:fldCharType="begin"/>
      </w:r>
      <w:r>
        <w:instrText xml:space="preserve"> HYPERLINK "http://apps.leg.wa.gov/wac/default.aspx?cite=174" </w:instrText>
      </w:r>
      <w:r>
        <w:fldChar w:fldCharType="separate"/>
      </w:r>
      <w:r w:rsidRPr="00A13B28">
        <w:rPr>
          <w:rStyle w:val="Hyperlink"/>
        </w:rPr>
        <w:t>WAC 174</w:t>
      </w:r>
      <w:r>
        <w:rPr>
          <w:rStyle w:val="Hyperlink"/>
        </w:rPr>
        <w:fldChar w:fldCharType="end"/>
      </w:r>
      <w:r w:rsidRPr="00A13B28">
        <w:t>)</w:t>
      </w:r>
      <w:r>
        <w:t xml:space="preserve">, </w:t>
      </w:r>
      <w:r w:rsidRPr="00390D81">
        <w:t>and includes, but is not limited to, the following:</w:t>
      </w:r>
    </w:p>
    <w:p w:rsidR="00A90C29" w:rsidRPr="00390D81" w:rsidRDefault="00A90C29" w:rsidP="00A90C29">
      <w:pPr>
        <w:numPr>
          <w:ilvl w:val="0"/>
          <w:numId w:val="1"/>
        </w:numPr>
      </w:pPr>
      <w:r w:rsidRPr="00390D81">
        <w:t>Plagiarism defined as appropriating or incorporating any other person's published or unpublished work in one's own work without full, clear and correct acknowledgment;</w:t>
      </w:r>
    </w:p>
    <w:p w:rsidR="00A90C29" w:rsidRPr="00390D81" w:rsidRDefault="00A90C29" w:rsidP="00A90C29">
      <w:pPr>
        <w:numPr>
          <w:ilvl w:val="0"/>
          <w:numId w:val="1"/>
        </w:numPr>
      </w:pPr>
      <w:r w:rsidRPr="00390D81">
        <w:t>Copying from another person's academic work without proper acknowledgment;</w:t>
      </w:r>
    </w:p>
    <w:p w:rsidR="00A90C29" w:rsidRPr="00390D81" w:rsidRDefault="00A90C29" w:rsidP="00A90C29">
      <w:pPr>
        <w:numPr>
          <w:ilvl w:val="0"/>
          <w:numId w:val="1"/>
        </w:numPr>
      </w:pPr>
      <w:r w:rsidRPr="00390D81">
        <w:t>Using assistance or materials that are expressly forbidden to complete an academic product or assignment;</w:t>
      </w:r>
    </w:p>
    <w:p w:rsidR="00A90C29" w:rsidRPr="00390D81" w:rsidRDefault="00A90C29" w:rsidP="00A90C29">
      <w:pPr>
        <w:numPr>
          <w:ilvl w:val="0"/>
          <w:numId w:val="1"/>
        </w:numPr>
      </w:pPr>
      <w:r w:rsidRPr="00390D81">
        <w:t>The unauthorized collaboration with any other person during the completion of independent academic work;</w:t>
      </w:r>
    </w:p>
    <w:p w:rsidR="00A90C29" w:rsidRPr="00390D81" w:rsidRDefault="00A90C29" w:rsidP="00A90C29">
      <w:pPr>
        <w:numPr>
          <w:ilvl w:val="0"/>
          <w:numId w:val="1"/>
        </w:numPr>
      </w:pPr>
      <w:r w:rsidRPr="00390D81">
        <w:t>Knowingly falsifying or assisting in falsifying or assisting in falsifying in whole, or in part, the contents of one's academic work;</w:t>
      </w:r>
    </w:p>
    <w:p w:rsidR="00A90C29" w:rsidRPr="00390D81" w:rsidRDefault="00A90C29" w:rsidP="00A90C29">
      <w:pPr>
        <w:numPr>
          <w:ilvl w:val="0"/>
          <w:numId w:val="1"/>
        </w:numPr>
      </w:pPr>
      <w:r w:rsidRPr="00390D81">
        <w:t>Permitting any other person to substitute oneself to complete academic work; or</w:t>
      </w:r>
    </w:p>
    <w:p w:rsidR="00A90C29" w:rsidRPr="00390D81" w:rsidRDefault="00A90C29" w:rsidP="00A90C29">
      <w:pPr>
        <w:numPr>
          <w:ilvl w:val="0"/>
          <w:numId w:val="1"/>
        </w:numPr>
      </w:pPr>
      <w:r w:rsidRPr="00390D81">
        <w:t>Engaging in any academic behavior specifically prohibited by a faculty member in the course covenant, syllabus, or individual or class discussion.</w:t>
      </w:r>
    </w:p>
    <w:p w:rsidR="00A90C29" w:rsidRDefault="00A90C29" w:rsidP="00A90C29">
      <w:proofErr w:type="gramStart"/>
      <w:r w:rsidRPr="00390D81">
        <w:t xml:space="preserve">A proven case of academic dishonesty by a graduate student </w:t>
      </w:r>
      <w:r w:rsidRPr="00A13B28">
        <w:t>will likely</w:t>
      </w:r>
      <w:r w:rsidRPr="00390D81">
        <w:t xml:space="preserve"> result in the loss of credit and possible dismissal from the graduate program.</w:t>
      </w:r>
      <w:proofErr w:type="gramEnd"/>
    </w:p>
    <w:p w:rsidR="00A90C29" w:rsidRPr="00B3735E" w:rsidRDefault="00A90C29" w:rsidP="00A90C29">
      <w:r w:rsidRPr="00A13B28">
        <w:rPr>
          <w:i/>
          <w:u w:val="single"/>
        </w:rPr>
        <w:lastRenderedPageBreak/>
        <w:t>Procedure</w:t>
      </w:r>
      <w:r w:rsidRPr="00A13B28">
        <w:t>: If a first time incident of plagiarism is minor, it may be approached as a teachable moment (Ex. lack of citation for quotes or paraphrasing) by the course faculty. However, if the first or subsequent incident of plagiarism is major or egregious (Ex. copying another student’s work or copying any work not originated by the student), the student may be referred to the campus Conduct Officer. Faculty will notify the student if this occurs. Conduct Officer will do an investigation into the evidence of plagiarism and also follow up with the student and faculty. Upon the outcome of the investigation, faculty will determine if there is a loss of credit for the course.  If there is a loss of credit, faculty will inform the MPA Director and subsequently student dismissal from the MPA program may occur.</w:t>
      </w:r>
      <w:r>
        <w:t xml:space="preserve">  </w:t>
      </w:r>
      <w:bookmarkStart w:id="1" w:name="dismissal"/>
      <w:bookmarkEnd w:id="1"/>
    </w:p>
    <w:p w:rsidR="002C392C" w:rsidRDefault="00A90C29">
      <w:r>
        <w:t>Adopted via e-mail 5/28/15</w:t>
      </w:r>
    </w:p>
    <w:p w:rsidR="00A90C29" w:rsidRDefault="00A90C29" w:rsidP="00A90C29">
      <w:pPr>
        <w:pStyle w:val="ListParagraph"/>
        <w:numPr>
          <w:ilvl w:val="0"/>
          <w:numId w:val="3"/>
        </w:numPr>
      </w:pPr>
      <w:r>
        <w:t>Add l</w:t>
      </w:r>
      <w:r w:rsidRPr="00D65F53">
        <w:t>ink</w:t>
      </w:r>
      <w:r>
        <w:t xml:space="preserve"> to TESC </w:t>
      </w:r>
      <w:hyperlink r:id="rId6" w:history="1">
        <w:r w:rsidRPr="0077619F">
          <w:rPr>
            <w:rStyle w:val="Hyperlink"/>
          </w:rPr>
          <w:t>Student Rights and Responsibilities</w:t>
        </w:r>
      </w:hyperlink>
    </w:p>
    <w:p w:rsidR="00A90C29" w:rsidRDefault="00A90C29" w:rsidP="00A90C29">
      <w:pPr>
        <w:pStyle w:val="ListParagraph"/>
        <w:numPr>
          <w:ilvl w:val="0"/>
          <w:numId w:val="3"/>
        </w:numPr>
      </w:pPr>
      <w:r>
        <w:t>Add l</w:t>
      </w:r>
      <w:r w:rsidRPr="00D65F53">
        <w:t>ink</w:t>
      </w:r>
      <w:r>
        <w:t xml:space="preserve"> to TESC </w:t>
      </w:r>
      <w:hyperlink r:id="rId7" w:history="1">
        <w:r w:rsidRPr="00D65F53">
          <w:rPr>
            <w:rStyle w:val="Hyperlink"/>
          </w:rPr>
          <w:t>Graduate Satisfactory Academic Progress Policy</w:t>
        </w:r>
      </w:hyperlink>
      <w:r>
        <w:t xml:space="preserve">. </w:t>
      </w:r>
    </w:p>
    <w:p w:rsidR="00A90C29" w:rsidRDefault="00A90C29" w:rsidP="00A90C29">
      <w:pPr>
        <w:pStyle w:val="ListParagraph"/>
        <w:numPr>
          <w:ilvl w:val="0"/>
          <w:numId w:val="3"/>
        </w:numPr>
      </w:pPr>
      <w:r w:rsidRPr="00F95671">
        <w:t>Add section:</w:t>
      </w:r>
      <w:r>
        <w:rPr>
          <w:b/>
        </w:rPr>
        <w:t xml:space="preserve"> </w:t>
      </w:r>
      <w:r w:rsidRPr="00D65F53">
        <w:rPr>
          <w:b/>
        </w:rPr>
        <w:t>Duty to Report</w:t>
      </w:r>
      <w:r>
        <w:t xml:space="preserve">: All faculty and staff are </w:t>
      </w:r>
      <w:hyperlink r:id="rId8" w:history="1">
        <w:r w:rsidRPr="008F41F3">
          <w:rPr>
            <w:rStyle w:val="Hyperlink"/>
          </w:rPr>
          <w:t>responsible employees</w:t>
        </w:r>
      </w:hyperlink>
      <w:r>
        <w:t xml:space="preserve">. We have a duty to report any </w:t>
      </w:r>
      <w:r w:rsidRPr="004B57CE">
        <w:t xml:space="preserve">significant safety concern </w:t>
      </w:r>
      <w:r>
        <w:t xml:space="preserve">including (but not limited to): notice of sexual assault, intimate partner violence, stalking, sexual harassment, or harm to self/suicide attempt to the authorities or appropriate parties. More information is available through the </w:t>
      </w:r>
      <w:hyperlink r:id="rId9" w:history="1">
        <w:r w:rsidRPr="0077619F">
          <w:rPr>
            <w:rStyle w:val="Hyperlink"/>
          </w:rPr>
          <w:t>campus policies page</w:t>
        </w:r>
      </w:hyperlink>
      <w:r>
        <w:t xml:space="preserve">. </w:t>
      </w:r>
    </w:p>
    <w:p w:rsidR="00A90C29" w:rsidRDefault="00A90C29" w:rsidP="00A90C29">
      <w:pPr>
        <w:pStyle w:val="ListParagraph"/>
        <w:numPr>
          <w:ilvl w:val="0"/>
          <w:numId w:val="3"/>
        </w:numPr>
      </w:pPr>
      <w:r>
        <w:t xml:space="preserve">New procedure: At new student orientation, </w:t>
      </w:r>
      <w:r w:rsidRPr="00D65F53">
        <w:t xml:space="preserve">have students </w:t>
      </w:r>
      <w:r w:rsidRPr="00D65F53">
        <w:rPr>
          <w:b/>
        </w:rPr>
        <w:t>sign a document to declare</w:t>
      </w:r>
      <w:r>
        <w:t xml:space="preserve">, “I have read, understand, and agree to abide by the MPA student handbook, the TESC student conduct code, and the TESC social contract.” Make a note in the MPA student handbook that this was request was made and, whether the document was signed or not, students are bound by these policies as registered TESC students in the MPA program.  </w:t>
      </w:r>
    </w:p>
    <w:p w:rsidR="00A90C29" w:rsidRDefault="00A90C29" w:rsidP="00A90C29">
      <w:pPr>
        <w:pStyle w:val="ListParagraph"/>
        <w:numPr>
          <w:ilvl w:val="0"/>
          <w:numId w:val="3"/>
        </w:numPr>
      </w:pPr>
      <w:r w:rsidRPr="0042167E">
        <w:t>Add section:</w:t>
      </w:r>
      <w:r>
        <w:rPr>
          <w:b/>
        </w:rPr>
        <w:t xml:space="preserve"> </w:t>
      </w:r>
      <w:r w:rsidRPr="00D65F53">
        <w:rPr>
          <w:b/>
        </w:rPr>
        <w:t>Reasonable Notice</w:t>
      </w:r>
      <w:r w:rsidRPr="002E0FBF">
        <w:t>: In administrative p</w:t>
      </w:r>
      <w:r>
        <w:t xml:space="preserve">rocesses where student(s) are accused or involved in behavioral or academic transgressions, </w:t>
      </w:r>
      <w:r w:rsidRPr="002E0FBF">
        <w:t>reasonable efforts shall be made to provide notice of the issue</w:t>
      </w:r>
      <w:r>
        <w:t xml:space="preserve"> to the student(s) in question via their TESC e-mail account. </w:t>
      </w:r>
      <w:r w:rsidRPr="002E0FBF">
        <w:t>This will be done in a discretionary manner, with the primary consideration that of personal safety.</w:t>
      </w:r>
      <w:r>
        <w:t xml:space="preserve"> </w:t>
      </w:r>
    </w:p>
    <w:p w:rsidR="00A90C29" w:rsidRPr="002827C2" w:rsidRDefault="00A90C29" w:rsidP="00A90C29">
      <w:r>
        <w:t xml:space="preserve">6) Add section: </w:t>
      </w:r>
      <w:r w:rsidRPr="002827C2">
        <w:rPr>
          <w:b/>
        </w:rPr>
        <w:t>Conflict Resolution:</w:t>
      </w:r>
      <w:r w:rsidRPr="002827C2">
        <w:t xml:space="preserve"> </w:t>
      </w:r>
    </w:p>
    <w:p w:rsidR="00A90C29" w:rsidRDefault="00A90C29" w:rsidP="00A90C29">
      <w:r w:rsidRPr="002827C2">
        <w:rPr>
          <w:i/>
          <w:u w:val="single"/>
        </w:rPr>
        <w:t>Policy</w:t>
      </w:r>
      <w:r>
        <w:t>: T</w:t>
      </w:r>
      <w:r w:rsidRPr="007769EE">
        <w:t>o p</w:t>
      </w:r>
      <w:r>
        <w:t>romote a cooperative</w:t>
      </w:r>
      <w:r w:rsidRPr="007769EE">
        <w:t xml:space="preserve"> a</w:t>
      </w:r>
      <w:r>
        <w:t>tmosphere within the community, allow</w:t>
      </w:r>
      <w:r w:rsidRPr="007769EE">
        <w:t xml:space="preserve"> opportunity for</w:t>
      </w:r>
      <w:r>
        <w:t xml:space="preserve"> self-reflection, and use high graduate level academic standards, we will</w:t>
      </w:r>
      <w:r w:rsidRPr="007769EE">
        <w:t xml:space="preserve"> handle all disputes in a spirit of goodwill. </w:t>
      </w:r>
      <w:r>
        <w:t xml:space="preserve">We will abide by the </w:t>
      </w:r>
      <w:hyperlink r:id="rId10" w:history="1">
        <w:r w:rsidRPr="00C223A2">
          <w:rPr>
            <w:rStyle w:val="Hyperlink"/>
          </w:rPr>
          <w:t>MPA Grievance Procedures</w:t>
        </w:r>
      </w:hyperlink>
      <w:r>
        <w:t xml:space="preserve">, </w:t>
      </w:r>
      <w:hyperlink r:id="rId11" w:history="1">
        <w:r w:rsidRPr="00C223A2">
          <w:rPr>
            <w:rStyle w:val="Hyperlink"/>
          </w:rPr>
          <w:t>TESC Social Contract</w:t>
        </w:r>
      </w:hyperlink>
      <w:r>
        <w:t xml:space="preserve">, and </w:t>
      </w:r>
      <w:hyperlink r:id="rId12" w:history="1">
        <w:r w:rsidRPr="00C223A2">
          <w:rPr>
            <w:rStyle w:val="Hyperlink"/>
          </w:rPr>
          <w:t>TESC Student Conduct Code</w:t>
        </w:r>
      </w:hyperlink>
      <w:r>
        <w:t>.</w:t>
      </w:r>
    </w:p>
    <w:p w:rsidR="00A90C29" w:rsidRDefault="00A90C29" w:rsidP="00A90C29">
      <w:r w:rsidRPr="002827C2">
        <w:rPr>
          <w:i/>
          <w:u w:val="single"/>
        </w:rPr>
        <w:t>Procedure</w:t>
      </w:r>
      <w:r>
        <w:t xml:space="preserve">:  </w:t>
      </w:r>
      <w:r w:rsidRPr="00111EDC">
        <w:rPr>
          <w:b/>
          <w:u w:val="single"/>
        </w:rPr>
        <w:t>First:</w:t>
      </w:r>
      <w:r>
        <w:t xml:space="preserve"> </w:t>
      </w:r>
      <w:r w:rsidRPr="007769EE">
        <w:t>Discuss any problems involving others in the learning community directly with the individual</w:t>
      </w:r>
      <w:r>
        <w:t>(</w:t>
      </w:r>
      <w:r w:rsidRPr="007769EE">
        <w:t>s</w:t>
      </w:r>
      <w:r>
        <w:t xml:space="preserve">) involved (if the students feel safe to do so and it is culturally appropriate). </w:t>
      </w:r>
      <w:r w:rsidRPr="007769EE">
        <w:t>Possessing respect for others is fundamental to an open, free, and educational dialogue. All students are expected to s</w:t>
      </w:r>
      <w:r>
        <w:t>upport and contribute to a well-</w:t>
      </w:r>
      <w:r w:rsidRPr="007769EE">
        <w:t xml:space="preserve">functioning MPA classroom and learning community. </w:t>
      </w:r>
      <w:r w:rsidRPr="00111EDC">
        <w:rPr>
          <w:b/>
          <w:u w:val="single"/>
        </w:rPr>
        <w:t>Second</w:t>
      </w:r>
      <w:r>
        <w:t xml:space="preserve">: If conflict coaching is needed or an outside third party is needed, mediation resources may be accessed through the </w:t>
      </w:r>
      <w:hyperlink r:id="rId13" w:history="1">
        <w:r w:rsidRPr="007769EE">
          <w:rPr>
            <w:rStyle w:val="Hyperlink"/>
          </w:rPr>
          <w:t>CARE Network</w:t>
        </w:r>
      </w:hyperlink>
      <w:r>
        <w:t>.</w:t>
      </w:r>
    </w:p>
    <w:p w:rsidR="00A90C29" w:rsidRDefault="00A90C29" w:rsidP="00A90C29">
      <w:pPr>
        <w:rPr>
          <w:rFonts w:eastAsia="Calibri" w:cs="Times New Roman"/>
        </w:rPr>
      </w:pPr>
      <w:r w:rsidRPr="006F7B7E">
        <w:rPr>
          <w:rFonts w:eastAsia="Calibri" w:cs="Times New Roman"/>
        </w:rPr>
        <w:t>When conflict occur</w:t>
      </w:r>
      <w:r>
        <w:rPr>
          <w:rFonts w:eastAsia="Calibri" w:cs="Times New Roman"/>
        </w:rPr>
        <w:t>s, members of the community may</w:t>
      </w:r>
      <w:r w:rsidRPr="006F7B7E">
        <w:rPr>
          <w:rFonts w:eastAsia="Calibri" w:cs="Times New Roman"/>
        </w:rPr>
        <w:t xml:space="preserve"> do the following, as appropriate:</w:t>
      </w:r>
    </w:p>
    <w:p w:rsidR="00A90C29" w:rsidRDefault="00A90C29" w:rsidP="00A90C29">
      <w:pPr>
        <w:rPr>
          <w:rFonts w:eastAsia="Calibri" w:cs="Times New Roman"/>
        </w:rPr>
      </w:pPr>
      <w:r>
        <w:rPr>
          <w:rFonts w:eastAsia="Calibri" w:cs="Times New Roman"/>
        </w:rPr>
        <w:lastRenderedPageBreak/>
        <w:t xml:space="preserve">a) </w:t>
      </w:r>
      <w:r>
        <w:rPr>
          <w:rFonts w:eastAsia="Calibri" w:cs="Times New Roman"/>
        </w:rPr>
        <w:t>Focus on ideas &amp; behaviors to</w:t>
      </w:r>
      <w:r w:rsidRPr="006F7B7E">
        <w:rPr>
          <w:rFonts w:eastAsia="Calibri" w:cs="Times New Roman"/>
        </w:rPr>
        <w:t xml:space="preserve"> avoid personal attacks </w:t>
      </w:r>
      <w:r>
        <w:rPr>
          <w:rFonts w:eastAsia="Calibri" w:cs="Times New Roman"/>
        </w:rPr>
        <w:t xml:space="preserve">or inflammatory language </w:t>
      </w:r>
      <w:r w:rsidRPr="006F7B7E">
        <w:rPr>
          <w:rFonts w:eastAsia="Calibri" w:cs="Times New Roman"/>
        </w:rPr>
        <w:t>while striving for resolution.</w:t>
      </w:r>
    </w:p>
    <w:p w:rsidR="00A90C29" w:rsidRDefault="00A90C29" w:rsidP="00A90C29">
      <w:pPr>
        <w:rPr>
          <w:rFonts w:eastAsia="Calibri" w:cs="Times New Roman"/>
        </w:rPr>
      </w:pPr>
      <w:r>
        <w:rPr>
          <w:rFonts w:eastAsia="Calibri" w:cs="Times New Roman"/>
        </w:rPr>
        <w:t xml:space="preserve">b) </w:t>
      </w:r>
      <w:r w:rsidRPr="006F7B7E">
        <w:rPr>
          <w:rFonts w:eastAsia="Calibri" w:cs="Times New Roman"/>
        </w:rPr>
        <w:t xml:space="preserve">Respectfully contact the other party </w:t>
      </w:r>
      <w:r>
        <w:rPr>
          <w:rFonts w:eastAsia="Calibri" w:cs="Times New Roman"/>
        </w:rPr>
        <w:t xml:space="preserve">directly or engage in culturally appropriate mediation before the </w:t>
      </w:r>
      <w:r w:rsidRPr="006F7B7E">
        <w:rPr>
          <w:rFonts w:eastAsia="Calibri" w:cs="Times New Roman"/>
        </w:rPr>
        <w:t>situation escalates.</w:t>
      </w:r>
    </w:p>
    <w:p w:rsidR="00A90C29" w:rsidRDefault="00A90C29" w:rsidP="00A90C29">
      <w:pPr>
        <w:rPr>
          <w:rFonts w:eastAsia="Calibri" w:cs="Times New Roman"/>
        </w:rPr>
      </w:pPr>
      <w:r>
        <w:rPr>
          <w:rFonts w:eastAsia="Calibri" w:cs="Times New Roman"/>
        </w:rPr>
        <w:t xml:space="preserve">c) </w:t>
      </w:r>
      <w:r w:rsidRPr="006F7B7E">
        <w:rPr>
          <w:rFonts w:eastAsia="Calibri" w:cs="Times New Roman"/>
        </w:rPr>
        <w:t xml:space="preserve">If the conflict cannot be resolved directly or is of a serious nature, contact the </w:t>
      </w:r>
      <w:r>
        <w:rPr>
          <w:rFonts w:eastAsia="Calibri" w:cs="Times New Roman"/>
        </w:rPr>
        <w:t xml:space="preserve">course </w:t>
      </w:r>
      <w:r w:rsidRPr="006F7B7E">
        <w:rPr>
          <w:rFonts w:eastAsia="Calibri" w:cs="Times New Roman"/>
        </w:rPr>
        <w:t xml:space="preserve">faculty. </w:t>
      </w:r>
    </w:p>
    <w:p w:rsidR="00A90C29" w:rsidRDefault="00A90C29" w:rsidP="00A90C29">
      <w:pPr>
        <w:rPr>
          <w:rFonts w:eastAsia="Calibri" w:cs="Times New Roman"/>
        </w:rPr>
      </w:pPr>
      <w:r>
        <w:rPr>
          <w:rFonts w:eastAsia="Calibri" w:cs="Times New Roman"/>
        </w:rPr>
        <w:t xml:space="preserve">d) </w:t>
      </w:r>
      <w:r w:rsidRPr="006F7B7E">
        <w:rPr>
          <w:rFonts w:eastAsia="Calibri" w:cs="Times New Roman"/>
        </w:rPr>
        <w:t>If the conflict is wit</w:t>
      </w:r>
      <w:r>
        <w:rPr>
          <w:rFonts w:eastAsia="Calibri" w:cs="Times New Roman"/>
        </w:rPr>
        <w:t xml:space="preserve">h </w:t>
      </w:r>
      <w:r>
        <w:rPr>
          <w:rFonts w:eastAsia="Calibri" w:cs="Times New Roman"/>
        </w:rPr>
        <w:t>faculty, contact the MPA D</w:t>
      </w:r>
      <w:r w:rsidRPr="006F7B7E">
        <w:rPr>
          <w:rFonts w:eastAsia="Calibri" w:cs="Times New Roman"/>
        </w:rPr>
        <w:t>irector</w:t>
      </w:r>
      <w:r>
        <w:rPr>
          <w:rFonts w:eastAsia="Calibri" w:cs="Times New Roman"/>
        </w:rPr>
        <w:t xml:space="preserve"> or Academic Deans</w:t>
      </w:r>
      <w:r w:rsidRPr="006F7B7E">
        <w:rPr>
          <w:rFonts w:eastAsia="Calibri" w:cs="Times New Roman"/>
        </w:rPr>
        <w:t>.</w:t>
      </w:r>
      <w:r>
        <w:rPr>
          <w:rFonts w:eastAsia="Calibri" w:cs="Times New Roman"/>
        </w:rPr>
        <w:t xml:space="preserve"> </w:t>
      </w:r>
    </w:p>
    <w:p w:rsidR="00A90C29" w:rsidRPr="006F7B7E" w:rsidRDefault="00A90C29" w:rsidP="00A90C29">
      <w:pPr>
        <w:rPr>
          <w:rFonts w:eastAsia="Calibri" w:cs="Times New Roman"/>
        </w:rPr>
      </w:pPr>
      <w:r>
        <w:rPr>
          <w:rFonts w:eastAsia="Calibri" w:cs="Times New Roman"/>
        </w:rPr>
        <w:t xml:space="preserve">e) </w:t>
      </w:r>
      <w:r>
        <w:rPr>
          <w:rFonts w:eastAsia="Calibri" w:cs="Times New Roman"/>
        </w:rPr>
        <w:t>If the conflict is with the MPA Di</w:t>
      </w:r>
      <w:r>
        <w:rPr>
          <w:rFonts w:eastAsia="Calibri" w:cs="Times New Roman"/>
        </w:rPr>
        <w:t>rector, contact the Academic</w:t>
      </w:r>
      <w:r>
        <w:rPr>
          <w:rFonts w:eastAsia="Calibri" w:cs="Times New Roman"/>
        </w:rPr>
        <w:t xml:space="preserve"> Deans.</w:t>
      </w:r>
    </w:p>
    <w:p w:rsidR="00A90C29" w:rsidRPr="00B86814" w:rsidRDefault="00A90C29" w:rsidP="00A90C29">
      <w:pPr>
        <w:spacing w:after="0" w:line="240" w:lineRule="auto"/>
        <w:rPr>
          <w:rFonts w:eastAsia="Calibri" w:cs="Times New Roman"/>
        </w:rPr>
      </w:pPr>
      <w:r w:rsidRPr="006F7B7E">
        <w:rPr>
          <w:rFonts w:eastAsia="Calibri" w:cs="Times New Roman"/>
        </w:rPr>
        <w:t>In issues of safety or violation of the law</w:t>
      </w:r>
      <w:r>
        <w:rPr>
          <w:rFonts w:eastAsia="Calibri" w:cs="Times New Roman"/>
        </w:rPr>
        <w:t>,</w:t>
      </w:r>
      <w:r w:rsidRPr="006F7B7E">
        <w:rPr>
          <w:rFonts w:eastAsia="Calibri" w:cs="Times New Roman"/>
        </w:rPr>
        <w:t xml:space="preserve"> reports can be made to </w:t>
      </w:r>
      <w:hyperlink r:id="rId14" w:history="1">
        <w:r w:rsidRPr="00C223A2">
          <w:rPr>
            <w:rStyle w:val="Hyperlink"/>
            <w:rFonts w:eastAsia="Calibri" w:cs="Times New Roman"/>
          </w:rPr>
          <w:t>Police Services</w:t>
        </w:r>
      </w:hyperlink>
      <w:r w:rsidRPr="006F7B7E">
        <w:rPr>
          <w:rFonts w:eastAsia="Calibri" w:cs="Times New Roman"/>
        </w:rPr>
        <w:t xml:space="preserve"> directly or using the </w:t>
      </w:r>
      <w:hyperlink r:id="rId15" w:history="1">
        <w:r w:rsidRPr="00C223A2">
          <w:rPr>
            <w:rStyle w:val="Hyperlink"/>
            <w:rFonts w:eastAsia="Calibri" w:cs="Times New Roman"/>
          </w:rPr>
          <w:t>online reporting system</w:t>
        </w:r>
      </w:hyperlink>
      <w:r w:rsidRPr="006F7B7E">
        <w:rPr>
          <w:rFonts w:eastAsia="Calibri" w:cs="Times New Roman"/>
        </w:rPr>
        <w:t xml:space="preserve">. </w:t>
      </w:r>
      <w:bookmarkStart w:id="2" w:name="matrix"/>
      <w:bookmarkEnd w:id="2"/>
    </w:p>
    <w:p w:rsidR="00A90C29" w:rsidRPr="005178D8" w:rsidRDefault="00A90C29" w:rsidP="00A90C29">
      <w:pPr>
        <w:spacing w:before="165" w:after="55" w:line="240" w:lineRule="auto"/>
        <w:outlineLvl w:val="1"/>
        <w:rPr>
          <w:rFonts w:ascii="Helvetica" w:eastAsia="Times New Roman" w:hAnsi="Helvetica" w:cs="Helvetica"/>
          <w:b/>
          <w:bCs/>
          <w:color w:val="333333"/>
          <w:sz w:val="33"/>
          <w:szCs w:val="33"/>
        </w:rPr>
      </w:pPr>
      <w:hyperlink r:id="rId16" w:history="1">
        <w:r w:rsidRPr="00B86814">
          <w:rPr>
            <w:rStyle w:val="Hyperlink"/>
            <w:rFonts w:ascii="Helvetica" w:eastAsia="Times New Roman" w:hAnsi="Helvetica" w:cs="Helvetica"/>
            <w:b/>
            <w:bCs/>
            <w:sz w:val="33"/>
            <w:szCs w:val="33"/>
          </w:rPr>
          <w:t>Conflict Resolution Process Matrix</w:t>
        </w:r>
      </w:hyperlink>
    </w:p>
    <w:p w:rsidR="00A90C29" w:rsidRPr="005178D8" w:rsidRDefault="00A90C29" w:rsidP="00A90C29">
      <w:pPr>
        <w:spacing w:before="165" w:after="55" w:line="240" w:lineRule="auto"/>
        <w:outlineLvl w:val="2"/>
        <w:rPr>
          <w:rFonts w:ascii="Helvetica" w:eastAsia="Times New Roman" w:hAnsi="Helvetica" w:cs="Helvetica"/>
          <w:color w:val="333333"/>
          <w:sz w:val="33"/>
          <w:szCs w:val="33"/>
        </w:rPr>
      </w:pPr>
      <w:r w:rsidRPr="005178D8">
        <w:rPr>
          <w:rFonts w:ascii="Helvetica" w:eastAsia="Times New Roman" w:hAnsi="Helvetica" w:cs="Helvetica"/>
          <w:color w:val="333333"/>
          <w:sz w:val="33"/>
          <w:szCs w:val="33"/>
        </w:rPr>
        <w:t>On-Campus Resources for Individuals in Conflict</w:t>
      </w:r>
    </w:p>
    <w:p w:rsidR="00A90C29" w:rsidRPr="005178D8" w:rsidRDefault="00A90C29" w:rsidP="00A90C29">
      <w:pPr>
        <w:spacing w:before="89" w:after="267" w:line="240" w:lineRule="auto"/>
        <w:rPr>
          <w:rFonts w:ascii="Helvetica" w:eastAsia="Times New Roman" w:hAnsi="Helvetica" w:cs="Helvetica"/>
          <w:sz w:val="20"/>
          <w:szCs w:val="20"/>
        </w:rPr>
      </w:pPr>
      <w:r w:rsidRPr="005178D8">
        <w:rPr>
          <w:rFonts w:ascii="Helvetica" w:eastAsia="Times New Roman" w:hAnsi="Helvetica" w:cs="Helvetica"/>
          <w:b/>
          <w:bCs/>
          <w:sz w:val="20"/>
          <w:szCs w:val="20"/>
        </w:rPr>
        <w:t>Note</w:t>
      </w:r>
      <w:r>
        <w:rPr>
          <w:rFonts w:ascii="Helvetica" w:eastAsia="Times New Roman" w:hAnsi="Helvetica" w:cs="Helvetica"/>
          <w:sz w:val="20"/>
          <w:szCs w:val="20"/>
        </w:rPr>
        <w:t>: The CARE Network</w:t>
      </w:r>
      <w:r w:rsidRPr="005178D8">
        <w:rPr>
          <w:rFonts w:ascii="Helvetica" w:eastAsia="Times New Roman" w:hAnsi="Helvetica" w:cs="Helvetica"/>
          <w:sz w:val="20"/>
          <w:szCs w:val="20"/>
        </w:rPr>
        <w:t xml:space="preserve"> is a resource for any conflicts described below. If a conflict may involve discrimination or sexual harassment, th</w:t>
      </w:r>
      <w:r>
        <w:rPr>
          <w:rFonts w:ascii="Helvetica" w:eastAsia="Times New Roman" w:hAnsi="Helvetica" w:cs="Helvetica"/>
          <w:sz w:val="20"/>
          <w:szCs w:val="20"/>
        </w:rPr>
        <w:t xml:space="preserve">e campus </w:t>
      </w:r>
      <w:r w:rsidRPr="005178D8">
        <w:rPr>
          <w:rFonts w:ascii="Helvetica" w:eastAsia="Times New Roman" w:hAnsi="Helvetica" w:cs="Helvetica"/>
          <w:sz w:val="20"/>
          <w:szCs w:val="20"/>
        </w:rPr>
        <w:t xml:space="preserve">Civil Rights </w:t>
      </w:r>
      <w:r>
        <w:rPr>
          <w:rFonts w:ascii="Helvetica" w:eastAsia="Times New Roman" w:hAnsi="Helvetica" w:cs="Helvetica"/>
          <w:sz w:val="20"/>
          <w:szCs w:val="20"/>
        </w:rPr>
        <w:t xml:space="preserve">Officer </w:t>
      </w:r>
      <w:r w:rsidRPr="005178D8">
        <w:rPr>
          <w:rFonts w:ascii="Helvetica" w:eastAsia="Times New Roman" w:hAnsi="Helvetica" w:cs="Helvetica"/>
          <w:sz w:val="20"/>
          <w:szCs w:val="20"/>
        </w:rPr>
        <w:t>can provide assistance.</w:t>
      </w:r>
    </w:p>
    <w:tbl>
      <w:tblPr>
        <w:tblW w:w="0" w:type="auto"/>
        <w:tblCellMar>
          <w:top w:w="15" w:type="dxa"/>
          <w:left w:w="15" w:type="dxa"/>
          <w:bottom w:w="15" w:type="dxa"/>
          <w:right w:w="15" w:type="dxa"/>
        </w:tblCellMar>
        <w:tblLook w:val="04A0" w:firstRow="1" w:lastRow="0" w:firstColumn="1" w:lastColumn="0" w:noHBand="0" w:noVBand="1"/>
      </w:tblPr>
      <w:tblGrid>
        <w:gridCol w:w="1567"/>
        <w:gridCol w:w="1316"/>
        <w:gridCol w:w="1431"/>
        <w:gridCol w:w="1666"/>
        <w:gridCol w:w="1870"/>
        <w:gridCol w:w="1870"/>
      </w:tblGrid>
      <w:tr w:rsidR="00A90C29" w:rsidRPr="005178D8" w:rsidTr="002349F7">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b/>
                <w:bCs/>
                <w:color w:val="000000"/>
                <w:sz w:val="20"/>
                <w:szCs w:val="20"/>
              </w:rPr>
              <w:t>About</w:t>
            </w:r>
            <w:r w:rsidRPr="005178D8">
              <w:rPr>
                <w:rFonts w:ascii="Helvetica" w:eastAsia="Times New Roman" w:hAnsi="Helvetica" w:cs="Helvetica"/>
                <w:b/>
                <w:bCs/>
                <w:color w:val="000000"/>
                <w:sz w:val="20"/>
                <w:szCs w:val="20"/>
              </w:rPr>
              <w:br/>
              <w:t>====&gt;</w:t>
            </w:r>
            <w:r w:rsidRPr="005178D8">
              <w:rPr>
                <w:rFonts w:ascii="Helvetica" w:eastAsia="Times New Roman" w:hAnsi="Helvetica" w:cs="Helvetica"/>
                <w:b/>
                <w:bCs/>
                <w:color w:val="000000"/>
                <w:sz w:val="20"/>
                <w:szCs w:val="20"/>
              </w:rPr>
              <w:br/>
              <w:t>By</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b/>
                <w:bCs/>
                <w:color w:val="000000"/>
                <w:sz w:val="20"/>
                <w:szCs w:val="20"/>
              </w:rPr>
              <w:t>Student</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b/>
                <w:bCs/>
                <w:color w:val="000000"/>
                <w:sz w:val="20"/>
                <w:szCs w:val="20"/>
              </w:rPr>
              <w:t>Student</w:t>
            </w:r>
            <w:r w:rsidRPr="005178D8">
              <w:rPr>
                <w:rFonts w:ascii="Helvetica" w:eastAsia="Times New Roman" w:hAnsi="Helvetica" w:cs="Helvetica"/>
                <w:b/>
                <w:bCs/>
                <w:color w:val="000000"/>
                <w:sz w:val="20"/>
                <w:szCs w:val="20"/>
              </w:rPr>
              <w:br/>
              <w:t>Employee</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b/>
                <w:bCs/>
                <w:color w:val="000000"/>
                <w:sz w:val="20"/>
                <w:szCs w:val="20"/>
              </w:rPr>
              <w:t>Faculty</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b/>
                <w:bCs/>
                <w:color w:val="000000"/>
                <w:sz w:val="20"/>
                <w:szCs w:val="20"/>
              </w:rPr>
              <w:t>Classified Staff</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b/>
                <w:bCs/>
                <w:color w:val="000000"/>
                <w:sz w:val="20"/>
                <w:szCs w:val="20"/>
              </w:rPr>
              <w:t>Exempt</w:t>
            </w:r>
            <w:r w:rsidRPr="005178D8">
              <w:rPr>
                <w:rFonts w:ascii="Helvetica" w:eastAsia="Times New Roman" w:hAnsi="Helvetica" w:cs="Helvetica"/>
                <w:b/>
                <w:bCs/>
                <w:color w:val="000000"/>
                <w:sz w:val="20"/>
                <w:szCs w:val="20"/>
              </w:rPr>
              <w:br/>
              <w:t>Staff</w:t>
            </w:r>
          </w:p>
        </w:tc>
      </w:tr>
      <w:tr w:rsidR="00A90C29" w:rsidRPr="005178D8" w:rsidTr="002349F7">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b/>
                <w:bCs/>
                <w:color w:val="000000"/>
                <w:sz w:val="20"/>
                <w:szCs w:val="20"/>
              </w:rPr>
              <w:t>Student</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Faculty</w:t>
            </w:r>
          </w:p>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br/>
              <w:t>Grievance</w:t>
            </w:r>
            <w:r w:rsidRPr="005178D8">
              <w:rPr>
                <w:rFonts w:ascii="Helvetica" w:eastAsia="Times New Roman" w:hAnsi="Helvetica" w:cs="Helvetica"/>
                <w:color w:val="333333"/>
                <w:sz w:val="20"/>
                <w:szCs w:val="20"/>
              </w:rPr>
              <w:br/>
              <w:t>Officer</w:t>
            </w:r>
          </w:p>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Housing</w:t>
            </w:r>
            <w:r w:rsidRPr="005178D8">
              <w:rPr>
                <w:rFonts w:ascii="Helvetica" w:eastAsia="Times New Roman" w:hAnsi="Helvetica" w:cs="Helvetica"/>
                <w:color w:val="333333"/>
                <w:sz w:val="20"/>
                <w:szCs w:val="20"/>
              </w:rPr>
              <w:br/>
              <w:t>Staff</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Student's</w:t>
            </w:r>
            <w:r w:rsidRPr="005178D8">
              <w:rPr>
                <w:rFonts w:ascii="Helvetica" w:eastAsia="Times New Roman" w:hAnsi="Helvetica" w:cs="Helvetica"/>
                <w:color w:val="333333"/>
                <w:sz w:val="20"/>
                <w:szCs w:val="20"/>
              </w:rPr>
              <w:br/>
              <w:t>Supervisor</w:t>
            </w:r>
          </w:p>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Grievance</w:t>
            </w:r>
            <w:r w:rsidRPr="005178D8">
              <w:rPr>
                <w:rFonts w:ascii="Helvetica" w:eastAsia="Times New Roman" w:hAnsi="Helvetica" w:cs="Helvetica"/>
                <w:color w:val="333333"/>
                <w:sz w:val="20"/>
                <w:szCs w:val="20"/>
              </w:rPr>
              <w:br/>
              <w:t>Officer</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Academic</w:t>
            </w:r>
            <w:r w:rsidRPr="005178D8">
              <w:rPr>
                <w:rFonts w:ascii="Helvetica" w:eastAsia="Times New Roman" w:hAnsi="Helvetica" w:cs="Helvetica"/>
                <w:color w:val="333333"/>
                <w:sz w:val="20"/>
                <w:szCs w:val="20"/>
              </w:rPr>
              <w:br/>
              <w:t>Dean</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Supervisor</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Supervisor</w:t>
            </w:r>
          </w:p>
        </w:tc>
      </w:tr>
      <w:tr w:rsidR="00A90C29" w:rsidRPr="005178D8" w:rsidTr="002349F7">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b/>
                <w:bCs/>
                <w:color w:val="000000"/>
                <w:sz w:val="20"/>
                <w:szCs w:val="20"/>
              </w:rPr>
              <w:t>Student Employee</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Supervisor</w:t>
            </w:r>
          </w:p>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Grievance</w:t>
            </w:r>
            <w:r w:rsidRPr="005178D8">
              <w:rPr>
                <w:rFonts w:ascii="Helvetica" w:eastAsia="Times New Roman" w:hAnsi="Helvetica" w:cs="Helvetica"/>
                <w:color w:val="333333"/>
                <w:sz w:val="20"/>
                <w:szCs w:val="20"/>
              </w:rPr>
              <w:br/>
              <w:t>Officer</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Supervisor</w:t>
            </w:r>
          </w:p>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Grievance</w:t>
            </w:r>
            <w:r w:rsidRPr="005178D8">
              <w:rPr>
                <w:rFonts w:ascii="Helvetica" w:eastAsia="Times New Roman" w:hAnsi="Helvetica" w:cs="Helvetica"/>
                <w:color w:val="333333"/>
                <w:sz w:val="20"/>
                <w:szCs w:val="20"/>
              </w:rPr>
              <w:br/>
              <w:t>Officer</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Supervisor</w:t>
            </w:r>
          </w:p>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Student Employment Director</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Supervisor</w:t>
            </w:r>
          </w:p>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Student Employment Director</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Supervisor</w:t>
            </w:r>
          </w:p>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Student Employment Director</w:t>
            </w:r>
          </w:p>
        </w:tc>
      </w:tr>
      <w:tr w:rsidR="00A90C29" w:rsidRPr="005178D8" w:rsidTr="002349F7">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b/>
                <w:bCs/>
                <w:color w:val="000000"/>
                <w:sz w:val="20"/>
                <w:szCs w:val="20"/>
              </w:rPr>
              <w:t>Faculty</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Grievance</w:t>
            </w:r>
            <w:r w:rsidRPr="005178D8">
              <w:rPr>
                <w:rFonts w:ascii="Helvetica" w:eastAsia="Times New Roman" w:hAnsi="Helvetica" w:cs="Helvetica"/>
                <w:color w:val="333333"/>
                <w:sz w:val="20"/>
                <w:szCs w:val="20"/>
              </w:rPr>
              <w:br/>
              <w:t>Officer</w:t>
            </w:r>
          </w:p>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lastRenderedPageBreak/>
              <w:t>Academic</w:t>
            </w:r>
            <w:r w:rsidRPr="005178D8">
              <w:rPr>
                <w:rFonts w:ascii="Helvetica" w:eastAsia="Times New Roman" w:hAnsi="Helvetica" w:cs="Helvetica"/>
                <w:color w:val="333333"/>
                <w:sz w:val="20"/>
                <w:szCs w:val="20"/>
              </w:rPr>
              <w:br/>
              <w:t>Dean</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lastRenderedPageBreak/>
              <w:t>Student's</w:t>
            </w:r>
            <w:r w:rsidRPr="005178D8">
              <w:rPr>
                <w:rFonts w:ascii="Helvetica" w:eastAsia="Times New Roman" w:hAnsi="Helvetica" w:cs="Helvetica"/>
                <w:color w:val="333333"/>
                <w:sz w:val="20"/>
                <w:szCs w:val="20"/>
              </w:rPr>
              <w:br/>
              <w:t>Supervisor</w:t>
            </w:r>
          </w:p>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lastRenderedPageBreak/>
              <w:t>Grievance</w:t>
            </w:r>
            <w:r w:rsidRPr="005178D8">
              <w:rPr>
                <w:rFonts w:ascii="Helvetica" w:eastAsia="Times New Roman" w:hAnsi="Helvetica" w:cs="Helvetica"/>
                <w:color w:val="333333"/>
                <w:sz w:val="20"/>
                <w:szCs w:val="20"/>
              </w:rPr>
              <w:br/>
              <w:t>Officer</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lastRenderedPageBreak/>
              <w:t>Academic Dean</w:t>
            </w:r>
          </w:p>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lastRenderedPageBreak/>
              <w:t>Faculty Grievance Process</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lastRenderedPageBreak/>
              <w:t>Supervisor</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Supervisor</w:t>
            </w:r>
          </w:p>
        </w:tc>
      </w:tr>
      <w:tr w:rsidR="00A90C29" w:rsidRPr="005178D8" w:rsidTr="002349F7">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b/>
                <w:bCs/>
                <w:color w:val="000000"/>
                <w:sz w:val="20"/>
                <w:szCs w:val="20"/>
              </w:rPr>
              <w:lastRenderedPageBreak/>
              <w:t>Classified Staff</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Grievance</w:t>
            </w:r>
            <w:r w:rsidRPr="005178D8">
              <w:rPr>
                <w:rFonts w:ascii="Helvetica" w:eastAsia="Times New Roman" w:hAnsi="Helvetica" w:cs="Helvetica"/>
                <w:color w:val="333333"/>
                <w:sz w:val="20"/>
                <w:szCs w:val="20"/>
              </w:rPr>
              <w:br/>
              <w:t>Officer</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Student's</w:t>
            </w:r>
            <w:r w:rsidRPr="005178D8">
              <w:rPr>
                <w:rFonts w:ascii="Helvetica" w:eastAsia="Times New Roman" w:hAnsi="Helvetica" w:cs="Helvetica"/>
                <w:color w:val="333333"/>
                <w:sz w:val="20"/>
                <w:szCs w:val="20"/>
              </w:rPr>
              <w:br/>
              <w:t>Supervisor</w:t>
            </w:r>
          </w:p>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Grievance</w:t>
            </w:r>
            <w:r w:rsidRPr="005178D8">
              <w:rPr>
                <w:rFonts w:ascii="Helvetica" w:eastAsia="Times New Roman" w:hAnsi="Helvetica" w:cs="Helvetica"/>
                <w:color w:val="333333"/>
                <w:sz w:val="20"/>
                <w:szCs w:val="20"/>
              </w:rPr>
              <w:br/>
              <w:t>Officer</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Academic Dean</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Union Representative</w:t>
            </w:r>
          </w:p>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Supervisor</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Union Representative</w:t>
            </w:r>
          </w:p>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Supervisor</w:t>
            </w:r>
          </w:p>
        </w:tc>
      </w:tr>
      <w:tr w:rsidR="00A90C29" w:rsidRPr="005178D8" w:rsidTr="002349F7">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b/>
                <w:bCs/>
                <w:color w:val="000000"/>
                <w:sz w:val="20"/>
                <w:szCs w:val="20"/>
              </w:rPr>
              <w:t>Exempt Staff</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Grievance</w:t>
            </w:r>
            <w:r w:rsidRPr="005178D8">
              <w:rPr>
                <w:rFonts w:ascii="Helvetica" w:eastAsia="Times New Roman" w:hAnsi="Helvetica" w:cs="Helvetica"/>
                <w:color w:val="333333"/>
                <w:sz w:val="20"/>
                <w:szCs w:val="20"/>
              </w:rPr>
              <w:br/>
              <w:t>Officer</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Student's Supervisor</w:t>
            </w:r>
          </w:p>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Grievance Officer</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Academic Dean</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Union Representative</w:t>
            </w:r>
          </w:p>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Supervisor</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Supervisor</w:t>
            </w:r>
          </w:p>
        </w:tc>
      </w:tr>
      <w:tr w:rsidR="00A90C29" w:rsidRPr="005178D8" w:rsidTr="002349F7">
        <w:trPr>
          <w:trHeight w:val="1065"/>
        </w:trPr>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b/>
                <w:bCs/>
                <w:color w:val="000000"/>
                <w:sz w:val="20"/>
                <w:szCs w:val="20"/>
              </w:rPr>
              <w:t>Community Member</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Grievance</w:t>
            </w:r>
            <w:r w:rsidRPr="005178D8">
              <w:rPr>
                <w:rFonts w:ascii="Helvetica" w:eastAsia="Times New Roman" w:hAnsi="Helvetica" w:cs="Helvetica"/>
                <w:color w:val="333333"/>
                <w:sz w:val="20"/>
                <w:szCs w:val="20"/>
              </w:rPr>
              <w:br/>
              <w:t>Officer</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Student's Supervisor</w:t>
            </w:r>
          </w:p>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Grievance Officer</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Academic Dean</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Supervisor</w:t>
            </w:r>
          </w:p>
        </w:tc>
        <w:tc>
          <w:tcPr>
            <w:tcW w:w="0" w:type="auto"/>
            <w:tcBorders>
              <w:top w:val="single" w:sz="6" w:space="0" w:color="6B7355"/>
              <w:left w:val="single" w:sz="6" w:space="0" w:color="6B7355"/>
              <w:bottom w:val="single" w:sz="6" w:space="0" w:color="6B7355"/>
              <w:right w:val="single" w:sz="6" w:space="0" w:color="6B7355"/>
            </w:tcBorders>
            <w:tcMar>
              <w:top w:w="90" w:type="dxa"/>
              <w:left w:w="180" w:type="dxa"/>
              <w:bottom w:w="270" w:type="dxa"/>
              <w:right w:w="180" w:type="dxa"/>
            </w:tcMar>
            <w:hideMark/>
          </w:tcPr>
          <w:p w:rsidR="00A90C29" w:rsidRPr="005178D8" w:rsidRDefault="00A90C29" w:rsidP="002349F7">
            <w:pPr>
              <w:spacing w:before="89" w:after="267" w:line="240" w:lineRule="auto"/>
              <w:rPr>
                <w:rFonts w:ascii="Helvetica" w:eastAsia="Times New Roman" w:hAnsi="Helvetica" w:cs="Helvetica"/>
                <w:color w:val="333333"/>
                <w:sz w:val="20"/>
                <w:szCs w:val="20"/>
              </w:rPr>
            </w:pPr>
            <w:r w:rsidRPr="005178D8">
              <w:rPr>
                <w:rFonts w:ascii="Helvetica" w:eastAsia="Times New Roman" w:hAnsi="Helvetica" w:cs="Helvetica"/>
                <w:color w:val="333333"/>
                <w:sz w:val="20"/>
                <w:szCs w:val="20"/>
              </w:rPr>
              <w:t>Supervisor</w:t>
            </w:r>
          </w:p>
        </w:tc>
      </w:tr>
    </w:tbl>
    <w:p w:rsidR="00A90C29" w:rsidRPr="00833DBB" w:rsidRDefault="00A90C29" w:rsidP="00A90C29"/>
    <w:p w:rsidR="00A90C29" w:rsidRDefault="00A90C29"/>
    <w:sectPr w:rsidR="00A90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D07DA"/>
    <w:multiLevelType w:val="hybridMultilevel"/>
    <w:tmpl w:val="84AAF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150810"/>
    <w:multiLevelType w:val="hybridMultilevel"/>
    <w:tmpl w:val="41DAD3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B7C7A2B"/>
    <w:multiLevelType w:val="multilevel"/>
    <w:tmpl w:val="264824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C29"/>
    <w:rsid w:val="002C392C"/>
    <w:rsid w:val="00A90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C2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C29"/>
    <w:rPr>
      <w:color w:val="0000FF" w:themeColor="hyperlink"/>
      <w:u w:val="single"/>
    </w:rPr>
  </w:style>
  <w:style w:type="paragraph" w:styleId="ListParagraph">
    <w:name w:val="List Paragraph"/>
    <w:basedOn w:val="Normal"/>
    <w:uiPriority w:val="34"/>
    <w:qFormat/>
    <w:rsid w:val="00A90C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C2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C29"/>
    <w:rPr>
      <w:color w:val="0000FF" w:themeColor="hyperlink"/>
      <w:u w:val="single"/>
    </w:rPr>
  </w:style>
  <w:style w:type="paragraph" w:styleId="ListParagraph">
    <w:name w:val="List Paragraph"/>
    <w:basedOn w:val="Normal"/>
    <w:uiPriority w:val="34"/>
    <w:qFormat/>
    <w:rsid w:val="00A90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titleIX/responsible-employees.htm" TargetMode="External"/><Relationship Id="rId13" Type="http://schemas.openxmlformats.org/officeDocument/2006/relationships/hyperlink" Target="http://evergreen.edu/carenetwork/mediation.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evergreen.edu/financialaid/sappolicy-graduate" TargetMode="External"/><Relationship Id="rId12" Type="http://schemas.openxmlformats.org/officeDocument/2006/relationships/hyperlink" Target="http://apps.leg.wa.gov/wac/default.aspx?cite=17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vergreen.edu/studentaffairs/rightsandresponsibilities.htm" TargetMode="External"/><Relationship Id="rId1" Type="http://schemas.openxmlformats.org/officeDocument/2006/relationships/numbering" Target="numbering.xml"/><Relationship Id="rId6" Type="http://schemas.openxmlformats.org/officeDocument/2006/relationships/hyperlink" Target="http://evergreen.edu/studentaffairs/rightsandresponsibilities.htm" TargetMode="External"/><Relationship Id="rId11" Type="http://schemas.openxmlformats.org/officeDocument/2006/relationships/hyperlink" Target="http://evergreen.edu/about/social.htm" TargetMode="External"/><Relationship Id="rId5" Type="http://schemas.openxmlformats.org/officeDocument/2006/relationships/webSettings" Target="webSettings.xml"/><Relationship Id="rId15" Type="http://schemas.openxmlformats.org/officeDocument/2006/relationships/hyperlink" Target="https://forms.evergreen.edu/report-incident" TargetMode="External"/><Relationship Id="rId10" Type="http://schemas.openxmlformats.org/officeDocument/2006/relationships/hyperlink" Target="http://evergreen.edu/mpa/studenthandbook/grievance.htm" TargetMode="External"/><Relationship Id="rId4" Type="http://schemas.openxmlformats.org/officeDocument/2006/relationships/settings" Target="settings.xml"/><Relationship Id="rId9" Type="http://schemas.openxmlformats.org/officeDocument/2006/relationships/hyperlink" Target="http://collab.evergreen.edu/policies/policies" TargetMode="External"/><Relationship Id="rId14" Type="http://schemas.openxmlformats.org/officeDocument/2006/relationships/hyperlink" Target="http://evergreen.edu/police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Gould, Amy</dc:creator>
  <cp:lastModifiedBy>Gould, Amy</cp:lastModifiedBy>
  <cp:revision>1</cp:revision>
  <dcterms:created xsi:type="dcterms:W3CDTF">2015-05-28T23:52:00Z</dcterms:created>
  <dcterms:modified xsi:type="dcterms:W3CDTF">2015-05-29T00:01:00Z</dcterms:modified>
</cp:coreProperties>
</file>