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8B" w:rsidRDefault="00D264B9" w:rsidP="00E02EA4">
      <w:pPr>
        <w:rPr>
          <w:b/>
          <w:u w:val="single"/>
        </w:rPr>
      </w:pPr>
      <w:r w:rsidRPr="00E02EA4">
        <w:rPr>
          <w:b/>
          <w:highlight w:val="yellow"/>
          <w:u w:val="single"/>
        </w:rPr>
        <w:t xml:space="preserve">Director </w:t>
      </w:r>
      <w:r w:rsidR="00E02EA4" w:rsidRPr="00E02EA4">
        <w:rPr>
          <w:b/>
          <w:highlight w:val="yellow"/>
          <w:u w:val="single"/>
        </w:rPr>
        <w:t>Statement:</w:t>
      </w:r>
    </w:p>
    <w:p w:rsidR="00E02EA4" w:rsidRPr="00E02EA4" w:rsidRDefault="00E02EA4" w:rsidP="00E02EA4">
      <w:pPr>
        <w:rPr>
          <w:b/>
          <w:u w:val="single"/>
        </w:rPr>
      </w:pPr>
    </w:p>
    <w:p w:rsidR="00D264B9" w:rsidRPr="00E02EA4" w:rsidRDefault="00E02EA4">
      <w:pPr>
        <w:rPr>
          <w:b/>
          <w:u w:val="single"/>
        </w:rPr>
      </w:pPr>
      <w:r w:rsidRPr="00E02EA4">
        <w:rPr>
          <w:b/>
          <w:u w:val="single"/>
        </w:rPr>
        <w:t>Program O</w:t>
      </w:r>
      <w:r w:rsidR="00D264B9" w:rsidRPr="00E02EA4">
        <w:rPr>
          <w:b/>
          <w:u w:val="single"/>
        </w:rPr>
        <w:t>verview</w:t>
      </w:r>
      <w:r w:rsidRPr="00E02EA4">
        <w:rPr>
          <w:b/>
          <w:u w:val="single"/>
        </w:rPr>
        <w:t>:</w:t>
      </w:r>
    </w:p>
    <w:p w:rsidR="003D2453" w:rsidRPr="00E02EA4" w:rsidRDefault="003D2453" w:rsidP="003D2453">
      <w:pPr>
        <w:tabs>
          <w:tab w:val="left" w:pos="5320"/>
        </w:tabs>
        <w:rPr>
          <w:rFonts w:cs="Arial"/>
        </w:rPr>
      </w:pPr>
      <w:r w:rsidRPr="00E02EA4">
        <w:rPr>
          <w:rFonts w:cs="Arial"/>
        </w:rPr>
        <w:t xml:space="preserve">Founded in 1980, the MPA program has undergone some significant changes as it endeavored to meet the needs of its students. </w:t>
      </w:r>
      <w:proofErr w:type="gramStart"/>
      <w:r w:rsidRPr="00E02EA4">
        <w:rPr>
          <w:rFonts w:cs="Arial"/>
        </w:rPr>
        <w:t>Initially started to provide a masters-level degree to the many state government workers living in Olympia, Washington, many government workers residing and working in Olympia, Washington.</w:t>
      </w:r>
      <w:proofErr w:type="gramEnd"/>
      <w:r w:rsidRPr="00E02EA4">
        <w:rPr>
          <w:rFonts w:cs="Arial"/>
        </w:rPr>
        <w:t xml:space="preserve">  A bit more than 20 years later, in 2002, underwent a major redesign to accommodate an increasingly diversified student population which had expanded significantly beyond the state government pool to include local/regional governments, tribal governments and non-profits. </w:t>
      </w:r>
    </w:p>
    <w:p w:rsidR="003D2453" w:rsidRPr="00E02EA4" w:rsidRDefault="003D2453" w:rsidP="003D2453">
      <w:pPr>
        <w:tabs>
          <w:tab w:val="left" w:pos="5320"/>
        </w:tabs>
        <w:rPr>
          <w:rFonts w:cs="Arial"/>
          <w:b/>
          <w:highlight w:val="yellow"/>
        </w:rPr>
      </w:pPr>
    </w:p>
    <w:p w:rsidR="003D2453" w:rsidRPr="00E02EA4" w:rsidRDefault="003D2453" w:rsidP="003D2453">
      <w:pPr>
        <w:tabs>
          <w:tab w:val="left" w:pos="5320"/>
        </w:tabs>
        <w:rPr>
          <w:rFonts w:cs="Arial"/>
        </w:rPr>
      </w:pPr>
      <w:r w:rsidRPr="00E02EA4">
        <w:rPr>
          <w:rFonts w:cs="Arial"/>
          <w:b/>
          <w:highlight w:val="yellow"/>
        </w:rPr>
        <w:t>Since that time, the program has graduated X cohorts</w:t>
      </w:r>
      <w:r w:rsidRPr="00E02EA4">
        <w:rPr>
          <w:rFonts w:cs="Arial"/>
        </w:rPr>
        <w:t xml:space="preserve"> and has refined its program of study to increase the flexibility and relevance of the Evergreen MPA degree.  </w:t>
      </w:r>
      <w:r w:rsidRPr="00E02EA4">
        <w:rPr>
          <w:lang w:val="en"/>
        </w:rPr>
        <w:t xml:space="preserve">The Core program consists of two years of required offerings, with six credit hours of study in </w:t>
      </w:r>
      <w:proofErr w:type="gramStart"/>
      <w:r w:rsidRPr="00E02EA4">
        <w:rPr>
          <w:lang w:val="en"/>
        </w:rPr>
        <w:t>Fall</w:t>
      </w:r>
      <w:proofErr w:type="gramEnd"/>
      <w:r w:rsidRPr="00E02EA4">
        <w:rPr>
          <w:lang w:val="en"/>
        </w:rPr>
        <w:t>, Winter, and Spring quarters. Each class admitted for the upcoming fall begins the Core programs as a group, or cohort, and continue together for the first two years. In each quarter of Core, students earn six credit hours, for a total of 36 credits for the completion of both Core programs.</w:t>
      </w:r>
    </w:p>
    <w:p w:rsidR="003D2453" w:rsidRPr="00E02EA4" w:rsidRDefault="00E02EA4" w:rsidP="003D2453">
      <w:pPr>
        <w:tabs>
          <w:tab w:val="left" w:pos="5320"/>
        </w:tabs>
        <w:rPr>
          <w:rFonts w:cs="Arial"/>
          <w:b/>
        </w:rPr>
      </w:pPr>
      <w:r w:rsidRPr="00E02EA4">
        <w:rPr>
          <w:lang w:val="en"/>
        </w:rPr>
        <w:t xml:space="preserve">The work that people do in public service is vast. To meet this need, the MPA program offers three areas of concentration in order to tailor the degree to meet the needs of students while exploring a core of critical materials for public service. </w:t>
      </w:r>
      <w:r w:rsidR="003D2453" w:rsidRPr="00E02EA4">
        <w:rPr>
          <w:rFonts w:cs="Arial"/>
          <w:b/>
          <w:highlight w:val="yellow"/>
        </w:rPr>
        <w:t xml:space="preserve">In 2016-17 </w:t>
      </w:r>
      <w:r w:rsidRPr="00E02EA4">
        <w:rPr>
          <w:rFonts w:cs="Arial"/>
          <w:b/>
          <w:highlight w:val="yellow"/>
        </w:rPr>
        <w:t>there were ____ in Public and Nonprofit Administration; ____ in Public Policy and ____ in Tribal Governance.</w:t>
      </w:r>
      <w:r w:rsidRPr="00E02EA4">
        <w:rPr>
          <w:rFonts w:cs="Arial"/>
          <w:b/>
        </w:rPr>
        <w:t xml:space="preserve"> </w:t>
      </w:r>
    </w:p>
    <w:p w:rsidR="00D264B9" w:rsidRPr="00E02EA4" w:rsidRDefault="00E02EA4">
      <w:pPr>
        <w:rPr>
          <w:b/>
          <w:u w:val="single"/>
        </w:rPr>
      </w:pPr>
      <w:r w:rsidRPr="00E02EA4">
        <w:rPr>
          <w:b/>
          <w:u w:val="single"/>
        </w:rPr>
        <w:t>Student Enrollment:</w:t>
      </w:r>
    </w:p>
    <w:tbl>
      <w:tblPr>
        <w:tblStyle w:val="TableGrid"/>
        <w:tblW w:w="0" w:type="auto"/>
        <w:tblLook w:val="04A0" w:firstRow="1" w:lastRow="0" w:firstColumn="1" w:lastColumn="0" w:noHBand="0" w:noVBand="1"/>
      </w:tblPr>
      <w:tblGrid>
        <w:gridCol w:w="3192"/>
        <w:gridCol w:w="3192"/>
        <w:gridCol w:w="3192"/>
      </w:tblGrid>
      <w:tr w:rsidR="00CE4E95" w:rsidTr="00CE4E95">
        <w:trPr>
          <w:trHeight w:val="368"/>
        </w:trPr>
        <w:tc>
          <w:tcPr>
            <w:tcW w:w="3192" w:type="dxa"/>
          </w:tcPr>
          <w:p w:rsidR="00CE4E95" w:rsidRDefault="00CE4E95">
            <w:pPr>
              <w:rPr>
                <w:rFonts w:ascii="Arial" w:hAnsi="Arial" w:cs="Arial"/>
                <w:sz w:val="20"/>
                <w:szCs w:val="20"/>
              </w:rPr>
            </w:pPr>
            <w:r>
              <w:rPr>
                <w:rFonts w:ascii="Arial" w:hAnsi="Arial" w:cs="Arial"/>
                <w:sz w:val="20"/>
                <w:szCs w:val="20"/>
              </w:rPr>
              <w:t>Year</w:t>
            </w:r>
          </w:p>
        </w:tc>
        <w:tc>
          <w:tcPr>
            <w:tcW w:w="3192" w:type="dxa"/>
          </w:tcPr>
          <w:p w:rsidR="00CE4E95" w:rsidRDefault="00CE4E95">
            <w:pPr>
              <w:rPr>
                <w:rFonts w:ascii="Arial" w:hAnsi="Arial" w:cs="Arial"/>
                <w:sz w:val="20"/>
                <w:szCs w:val="20"/>
              </w:rPr>
            </w:pPr>
            <w:r>
              <w:rPr>
                <w:rFonts w:ascii="Arial" w:hAnsi="Arial" w:cs="Arial"/>
                <w:sz w:val="20"/>
                <w:szCs w:val="20"/>
              </w:rPr>
              <w:t># Enrolled</w:t>
            </w:r>
          </w:p>
        </w:tc>
        <w:tc>
          <w:tcPr>
            <w:tcW w:w="3192" w:type="dxa"/>
          </w:tcPr>
          <w:p w:rsidR="00CE4E95" w:rsidRDefault="00CE4E95">
            <w:pPr>
              <w:rPr>
                <w:rFonts w:ascii="Arial" w:hAnsi="Arial" w:cs="Arial"/>
                <w:sz w:val="20"/>
                <w:szCs w:val="20"/>
              </w:rPr>
            </w:pPr>
            <w:r>
              <w:rPr>
                <w:rFonts w:ascii="Arial" w:hAnsi="Arial" w:cs="Arial"/>
                <w:sz w:val="20"/>
                <w:szCs w:val="20"/>
              </w:rPr>
              <w:t>Target FTE</w:t>
            </w:r>
          </w:p>
        </w:tc>
      </w:tr>
      <w:tr w:rsidR="00CE4E95" w:rsidTr="00CE4E95">
        <w:tc>
          <w:tcPr>
            <w:tcW w:w="3192" w:type="dxa"/>
          </w:tcPr>
          <w:p w:rsidR="00CE4E95" w:rsidRDefault="00CE4E95">
            <w:pPr>
              <w:rPr>
                <w:rFonts w:ascii="Arial" w:hAnsi="Arial" w:cs="Arial"/>
                <w:sz w:val="20"/>
                <w:szCs w:val="20"/>
              </w:rPr>
            </w:pPr>
            <w:r>
              <w:rPr>
                <w:rFonts w:ascii="Arial" w:hAnsi="Arial" w:cs="Arial"/>
                <w:sz w:val="20"/>
                <w:szCs w:val="20"/>
              </w:rPr>
              <w:t>2012-13</w:t>
            </w:r>
          </w:p>
        </w:tc>
        <w:tc>
          <w:tcPr>
            <w:tcW w:w="3192" w:type="dxa"/>
            <w:shd w:val="clear" w:color="auto" w:fill="FFFF00"/>
          </w:tcPr>
          <w:p w:rsidR="00CE4E95" w:rsidRPr="00CE4E95" w:rsidRDefault="00CE4E95">
            <w:pPr>
              <w:rPr>
                <w:rFonts w:ascii="Arial" w:hAnsi="Arial" w:cs="Arial"/>
                <w:sz w:val="20"/>
                <w:szCs w:val="20"/>
                <w:highlight w:val="yellow"/>
              </w:rPr>
            </w:pPr>
          </w:p>
        </w:tc>
        <w:tc>
          <w:tcPr>
            <w:tcW w:w="3192" w:type="dxa"/>
            <w:shd w:val="clear" w:color="auto" w:fill="FFFF00"/>
          </w:tcPr>
          <w:p w:rsidR="00CE4E95" w:rsidRDefault="00CE4E95">
            <w:pPr>
              <w:rPr>
                <w:rFonts w:ascii="Arial" w:hAnsi="Arial" w:cs="Arial"/>
                <w:sz w:val="20"/>
                <w:szCs w:val="20"/>
              </w:rPr>
            </w:pPr>
          </w:p>
        </w:tc>
      </w:tr>
      <w:tr w:rsidR="00CE4E95" w:rsidTr="00CE4E95">
        <w:tc>
          <w:tcPr>
            <w:tcW w:w="3192" w:type="dxa"/>
          </w:tcPr>
          <w:p w:rsidR="00CE4E95" w:rsidRDefault="00CE4E95">
            <w:pPr>
              <w:rPr>
                <w:rFonts w:ascii="Arial" w:hAnsi="Arial" w:cs="Arial"/>
                <w:sz w:val="20"/>
                <w:szCs w:val="20"/>
              </w:rPr>
            </w:pPr>
            <w:r>
              <w:rPr>
                <w:rFonts w:ascii="Arial" w:hAnsi="Arial" w:cs="Arial"/>
                <w:sz w:val="20"/>
                <w:szCs w:val="20"/>
              </w:rPr>
              <w:t>2013-14</w:t>
            </w:r>
          </w:p>
        </w:tc>
        <w:tc>
          <w:tcPr>
            <w:tcW w:w="3192" w:type="dxa"/>
            <w:shd w:val="clear" w:color="auto" w:fill="FFFF00"/>
          </w:tcPr>
          <w:p w:rsidR="00CE4E95" w:rsidRPr="00CE4E95" w:rsidRDefault="00CE4E95">
            <w:pPr>
              <w:rPr>
                <w:rFonts w:ascii="Arial" w:hAnsi="Arial" w:cs="Arial"/>
                <w:sz w:val="20"/>
                <w:szCs w:val="20"/>
                <w:highlight w:val="yellow"/>
              </w:rPr>
            </w:pPr>
          </w:p>
        </w:tc>
        <w:tc>
          <w:tcPr>
            <w:tcW w:w="3192" w:type="dxa"/>
            <w:shd w:val="clear" w:color="auto" w:fill="FFFF00"/>
          </w:tcPr>
          <w:p w:rsidR="00CE4E95" w:rsidRDefault="00CE4E95">
            <w:pPr>
              <w:rPr>
                <w:rFonts w:ascii="Arial" w:hAnsi="Arial" w:cs="Arial"/>
                <w:sz w:val="20"/>
                <w:szCs w:val="20"/>
              </w:rPr>
            </w:pPr>
          </w:p>
        </w:tc>
      </w:tr>
      <w:tr w:rsidR="00CE4E95" w:rsidTr="00CE4E95">
        <w:tc>
          <w:tcPr>
            <w:tcW w:w="3192" w:type="dxa"/>
          </w:tcPr>
          <w:p w:rsidR="00CE4E95" w:rsidRDefault="00CE4E95">
            <w:pPr>
              <w:rPr>
                <w:rFonts w:ascii="Arial" w:hAnsi="Arial" w:cs="Arial"/>
                <w:sz w:val="20"/>
                <w:szCs w:val="20"/>
              </w:rPr>
            </w:pPr>
            <w:r>
              <w:rPr>
                <w:rFonts w:ascii="Arial" w:hAnsi="Arial" w:cs="Arial"/>
                <w:sz w:val="20"/>
                <w:szCs w:val="20"/>
              </w:rPr>
              <w:t>2014-15</w:t>
            </w:r>
          </w:p>
        </w:tc>
        <w:tc>
          <w:tcPr>
            <w:tcW w:w="3192" w:type="dxa"/>
            <w:shd w:val="clear" w:color="auto" w:fill="FFFF00"/>
          </w:tcPr>
          <w:p w:rsidR="00CE4E95" w:rsidRPr="00CE4E95" w:rsidRDefault="00CE4E95">
            <w:pPr>
              <w:rPr>
                <w:rFonts w:ascii="Arial" w:hAnsi="Arial" w:cs="Arial"/>
                <w:sz w:val="20"/>
                <w:szCs w:val="20"/>
                <w:highlight w:val="yellow"/>
              </w:rPr>
            </w:pPr>
          </w:p>
        </w:tc>
        <w:tc>
          <w:tcPr>
            <w:tcW w:w="3192" w:type="dxa"/>
            <w:shd w:val="clear" w:color="auto" w:fill="FFFF00"/>
          </w:tcPr>
          <w:p w:rsidR="00CE4E95" w:rsidRDefault="00CE4E95">
            <w:pPr>
              <w:rPr>
                <w:rFonts w:ascii="Arial" w:hAnsi="Arial" w:cs="Arial"/>
                <w:sz w:val="20"/>
                <w:szCs w:val="20"/>
              </w:rPr>
            </w:pPr>
          </w:p>
        </w:tc>
      </w:tr>
      <w:tr w:rsidR="00CE4E95" w:rsidTr="00CE4E95">
        <w:tc>
          <w:tcPr>
            <w:tcW w:w="3192" w:type="dxa"/>
          </w:tcPr>
          <w:p w:rsidR="00CE4E95" w:rsidRDefault="00CE4E95">
            <w:pPr>
              <w:rPr>
                <w:rFonts w:ascii="Arial" w:hAnsi="Arial" w:cs="Arial"/>
                <w:sz w:val="20"/>
                <w:szCs w:val="20"/>
              </w:rPr>
            </w:pPr>
            <w:r>
              <w:rPr>
                <w:rFonts w:ascii="Arial" w:hAnsi="Arial" w:cs="Arial"/>
                <w:sz w:val="20"/>
                <w:szCs w:val="20"/>
              </w:rPr>
              <w:t>2015-16</w:t>
            </w:r>
          </w:p>
        </w:tc>
        <w:tc>
          <w:tcPr>
            <w:tcW w:w="3192" w:type="dxa"/>
          </w:tcPr>
          <w:p w:rsidR="00CE4E95" w:rsidRDefault="00CE4E95">
            <w:pPr>
              <w:rPr>
                <w:rFonts w:ascii="Arial" w:hAnsi="Arial" w:cs="Arial"/>
                <w:sz w:val="20"/>
                <w:szCs w:val="20"/>
              </w:rPr>
            </w:pPr>
            <w:r>
              <w:rPr>
                <w:rFonts w:ascii="Arial" w:hAnsi="Arial" w:cs="Arial"/>
                <w:sz w:val="20"/>
                <w:szCs w:val="20"/>
              </w:rPr>
              <w:t>311</w:t>
            </w:r>
          </w:p>
        </w:tc>
        <w:tc>
          <w:tcPr>
            <w:tcW w:w="3192" w:type="dxa"/>
            <w:shd w:val="clear" w:color="auto" w:fill="FFFF00"/>
          </w:tcPr>
          <w:p w:rsidR="00CE4E95" w:rsidRDefault="00CE4E95">
            <w:pPr>
              <w:rPr>
                <w:rFonts w:ascii="Arial" w:hAnsi="Arial" w:cs="Arial"/>
                <w:sz w:val="20"/>
                <w:szCs w:val="20"/>
              </w:rPr>
            </w:pPr>
          </w:p>
        </w:tc>
      </w:tr>
      <w:tr w:rsidR="00CE4E95" w:rsidTr="00CE4E95">
        <w:tc>
          <w:tcPr>
            <w:tcW w:w="3192" w:type="dxa"/>
          </w:tcPr>
          <w:p w:rsidR="00CE4E95" w:rsidRDefault="00CE4E95">
            <w:pPr>
              <w:rPr>
                <w:rFonts w:ascii="Arial" w:hAnsi="Arial" w:cs="Arial"/>
                <w:sz w:val="20"/>
                <w:szCs w:val="20"/>
              </w:rPr>
            </w:pPr>
            <w:r>
              <w:rPr>
                <w:rFonts w:ascii="Arial" w:hAnsi="Arial" w:cs="Arial"/>
                <w:sz w:val="20"/>
                <w:szCs w:val="20"/>
              </w:rPr>
              <w:t>2016-17</w:t>
            </w:r>
          </w:p>
        </w:tc>
        <w:tc>
          <w:tcPr>
            <w:tcW w:w="3192" w:type="dxa"/>
          </w:tcPr>
          <w:p w:rsidR="00CE4E95" w:rsidRDefault="00CE4E95">
            <w:pPr>
              <w:rPr>
                <w:rFonts w:ascii="Arial" w:hAnsi="Arial" w:cs="Arial"/>
                <w:sz w:val="20"/>
                <w:szCs w:val="20"/>
              </w:rPr>
            </w:pPr>
            <w:r>
              <w:rPr>
                <w:rFonts w:ascii="Arial" w:hAnsi="Arial" w:cs="Arial"/>
                <w:sz w:val="20"/>
                <w:szCs w:val="20"/>
              </w:rPr>
              <w:t>281</w:t>
            </w:r>
          </w:p>
        </w:tc>
        <w:tc>
          <w:tcPr>
            <w:tcW w:w="3192" w:type="dxa"/>
            <w:shd w:val="clear" w:color="auto" w:fill="FFFF00"/>
          </w:tcPr>
          <w:p w:rsidR="00CE4E95" w:rsidRDefault="00CE4E95">
            <w:pPr>
              <w:rPr>
                <w:rFonts w:ascii="Arial" w:hAnsi="Arial" w:cs="Arial"/>
                <w:sz w:val="20"/>
                <w:szCs w:val="20"/>
              </w:rPr>
            </w:pPr>
          </w:p>
        </w:tc>
      </w:tr>
    </w:tbl>
    <w:p w:rsidR="00CE4E95" w:rsidRDefault="00CE4E95">
      <w:pPr>
        <w:rPr>
          <w:rFonts w:ascii="Arial" w:hAnsi="Arial" w:cs="Arial"/>
          <w:sz w:val="20"/>
          <w:szCs w:val="20"/>
        </w:rPr>
      </w:pPr>
    </w:p>
    <w:p w:rsidR="00E02EA4" w:rsidRDefault="00B358E3">
      <w:pPr>
        <w:rPr>
          <w:rFonts w:ascii="Arial" w:hAnsi="Arial" w:cs="Arial"/>
          <w:sz w:val="20"/>
          <w:szCs w:val="20"/>
        </w:rPr>
      </w:pPr>
      <w:r>
        <w:rPr>
          <w:rFonts w:ascii="Arial" w:hAnsi="Arial" w:cs="Arial"/>
          <w:sz w:val="20"/>
          <w:szCs w:val="20"/>
        </w:rPr>
        <w:t xml:space="preserve">Fall Headcount broken down by cohort, General and Tribal.  As can be seen, </w:t>
      </w:r>
      <w:r w:rsidRPr="00B358E3">
        <w:rPr>
          <w:rFonts w:ascii="Arial" w:hAnsi="Arial" w:cs="Arial"/>
          <w:b/>
          <w:i/>
          <w:color w:val="FF0000"/>
          <w:sz w:val="20"/>
          <w:szCs w:val="20"/>
        </w:rPr>
        <w:t xml:space="preserve">Tribal Cohort </w:t>
      </w:r>
      <w:r>
        <w:rPr>
          <w:rFonts w:ascii="Arial" w:hAnsi="Arial" w:cs="Arial"/>
          <w:sz w:val="20"/>
          <w:szCs w:val="20"/>
        </w:rPr>
        <w:t xml:space="preserve">size remains fairly stable across the four years, between </w:t>
      </w:r>
      <w:r w:rsidRPr="00B358E3">
        <w:rPr>
          <w:rFonts w:ascii="Arial" w:hAnsi="Arial" w:cs="Arial"/>
          <w:sz w:val="20"/>
          <w:szCs w:val="20"/>
          <w:highlight w:val="yellow"/>
        </w:rPr>
        <w:t>_____</w:t>
      </w:r>
      <w:r>
        <w:rPr>
          <w:rFonts w:ascii="Arial" w:hAnsi="Arial" w:cs="Arial"/>
          <w:sz w:val="20"/>
          <w:szCs w:val="20"/>
        </w:rPr>
        <w:t xml:space="preserve"> students.</w:t>
      </w:r>
    </w:p>
    <w:p w:rsidR="00B358E3" w:rsidRPr="00B358E3" w:rsidRDefault="00B358E3">
      <w:pPr>
        <w:rPr>
          <w:rFonts w:ascii="Arial" w:hAnsi="Arial" w:cs="Arial"/>
          <w:b/>
          <w:sz w:val="20"/>
          <w:szCs w:val="20"/>
        </w:rPr>
      </w:pPr>
      <w:r w:rsidRPr="00B358E3">
        <w:rPr>
          <w:rFonts w:ascii="Arial" w:hAnsi="Arial" w:cs="Arial"/>
          <w:b/>
          <w:sz w:val="20"/>
          <w:szCs w:val="20"/>
        </w:rPr>
        <w:t xml:space="preserve">Need Fall Headcounts </w:t>
      </w:r>
    </w:p>
    <w:tbl>
      <w:tblPr>
        <w:tblStyle w:val="TableGrid"/>
        <w:tblW w:w="0" w:type="auto"/>
        <w:tblLook w:val="04A0" w:firstRow="1" w:lastRow="0" w:firstColumn="1" w:lastColumn="0" w:noHBand="0" w:noVBand="1"/>
      </w:tblPr>
      <w:tblGrid>
        <w:gridCol w:w="1939"/>
        <w:gridCol w:w="1939"/>
        <w:gridCol w:w="2170"/>
        <w:gridCol w:w="1680"/>
        <w:gridCol w:w="1815"/>
      </w:tblGrid>
      <w:tr w:rsidR="00B358E3" w:rsidTr="009A01B6">
        <w:trPr>
          <w:trHeight w:val="368"/>
        </w:trPr>
        <w:tc>
          <w:tcPr>
            <w:tcW w:w="1939" w:type="dxa"/>
          </w:tcPr>
          <w:p w:rsidR="00B358E3" w:rsidRDefault="00B358E3" w:rsidP="00AF1D50">
            <w:pPr>
              <w:rPr>
                <w:rFonts w:ascii="Arial" w:hAnsi="Arial" w:cs="Arial"/>
                <w:sz w:val="20"/>
                <w:szCs w:val="20"/>
              </w:rPr>
            </w:pPr>
          </w:p>
        </w:tc>
        <w:tc>
          <w:tcPr>
            <w:tcW w:w="1939" w:type="dxa"/>
          </w:tcPr>
          <w:p w:rsidR="00B358E3" w:rsidRDefault="00B358E3" w:rsidP="00AF1D50">
            <w:pPr>
              <w:rPr>
                <w:rFonts w:ascii="Arial" w:hAnsi="Arial" w:cs="Arial"/>
                <w:sz w:val="20"/>
                <w:szCs w:val="20"/>
              </w:rPr>
            </w:pPr>
            <w:r>
              <w:rPr>
                <w:rFonts w:ascii="Arial" w:hAnsi="Arial" w:cs="Arial"/>
                <w:sz w:val="20"/>
                <w:szCs w:val="20"/>
              </w:rPr>
              <w:t>2016-17</w:t>
            </w:r>
          </w:p>
        </w:tc>
        <w:tc>
          <w:tcPr>
            <w:tcW w:w="2170" w:type="dxa"/>
          </w:tcPr>
          <w:p w:rsidR="00B358E3" w:rsidRDefault="00B358E3" w:rsidP="00AF1D50">
            <w:pPr>
              <w:rPr>
                <w:rFonts w:ascii="Arial" w:hAnsi="Arial" w:cs="Arial"/>
                <w:sz w:val="20"/>
                <w:szCs w:val="20"/>
              </w:rPr>
            </w:pPr>
            <w:r>
              <w:rPr>
                <w:rFonts w:ascii="Arial" w:hAnsi="Arial" w:cs="Arial"/>
                <w:sz w:val="20"/>
                <w:szCs w:val="20"/>
              </w:rPr>
              <w:t>2015-16</w:t>
            </w:r>
          </w:p>
        </w:tc>
        <w:tc>
          <w:tcPr>
            <w:tcW w:w="1680" w:type="dxa"/>
          </w:tcPr>
          <w:p w:rsidR="00B358E3" w:rsidRDefault="00B358E3" w:rsidP="00AF1D50">
            <w:pPr>
              <w:rPr>
                <w:rFonts w:ascii="Arial" w:hAnsi="Arial" w:cs="Arial"/>
                <w:sz w:val="20"/>
                <w:szCs w:val="20"/>
              </w:rPr>
            </w:pPr>
            <w:r>
              <w:rPr>
                <w:rFonts w:ascii="Arial" w:hAnsi="Arial" w:cs="Arial"/>
                <w:sz w:val="20"/>
                <w:szCs w:val="20"/>
              </w:rPr>
              <w:t>2014-15</w:t>
            </w:r>
          </w:p>
        </w:tc>
        <w:tc>
          <w:tcPr>
            <w:tcW w:w="1815" w:type="dxa"/>
          </w:tcPr>
          <w:p w:rsidR="00B358E3" w:rsidRDefault="00B358E3" w:rsidP="00AF1D50">
            <w:pPr>
              <w:rPr>
                <w:rFonts w:ascii="Arial" w:hAnsi="Arial" w:cs="Arial"/>
                <w:sz w:val="20"/>
                <w:szCs w:val="20"/>
              </w:rPr>
            </w:pPr>
            <w:r>
              <w:rPr>
                <w:rFonts w:ascii="Arial" w:hAnsi="Arial" w:cs="Arial"/>
                <w:sz w:val="20"/>
                <w:szCs w:val="20"/>
              </w:rPr>
              <w:t>2014-13</w:t>
            </w:r>
          </w:p>
        </w:tc>
      </w:tr>
      <w:tr w:rsidR="00B358E3" w:rsidTr="00B358E3">
        <w:trPr>
          <w:trHeight w:val="260"/>
        </w:trPr>
        <w:tc>
          <w:tcPr>
            <w:tcW w:w="1939" w:type="dxa"/>
          </w:tcPr>
          <w:p w:rsidR="00B358E3" w:rsidRDefault="00B358E3" w:rsidP="00AF1D50">
            <w:pPr>
              <w:rPr>
                <w:rFonts w:ascii="Arial" w:hAnsi="Arial" w:cs="Arial"/>
                <w:sz w:val="20"/>
                <w:szCs w:val="20"/>
              </w:rPr>
            </w:pPr>
            <w:r>
              <w:rPr>
                <w:rFonts w:ascii="Arial" w:hAnsi="Arial" w:cs="Arial"/>
                <w:sz w:val="20"/>
                <w:szCs w:val="20"/>
              </w:rPr>
              <w:t>Total</w:t>
            </w:r>
          </w:p>
        </w:tc>
        <w:tc>
          <w:tcPr>
            <w:tcW w:w="1939" w:type="dxa"/>
            <w:shd w:val="clear" w:color="auto" w:fill="FFFF00"/>
          </w:tcPr>
          <w:p w:rsidR="00B358E3" w:rsidRDefault="00B358E3" w:rsidP="00AF1D50">
            <w:pPr>
              <w:rPr>
                <w:rFonts w:ascii="Arial" w:hAnsi="Arial" w:cs="Arial"/>
                <w:sz w:val="20"/>
                <w:szCs w:val="20"/>
              </w:rPr>
            </w:pPr>
          </w:p>
        </w:tc>
        <w:tc>
          <w:tcPr>
            <w:tcW w:w="2170" w:type="dxa"/>
            <w:shd w:val="clear" w:color="auto" w:fill="FFFF00"/>
          </w:tcPr>
          <w:p w:rsidR="00B358E3" w:rsidRPr="00CE4E95" w:rsidRDefault="00B358E3" w:rsidP="00AF1D50">
            <w:pPr>
              <w:rPr>
                <w:rFonts w:ascii="Arial" w:hAnsi="Arial" w:cs="Arial"/>
                <w:sz w:val="20"/>
                <w:szCs w:val="20"/>
                <w:highlight w:val="yellow"/>
              </w:rPr>
            </w:pPr>
          </w:p>
        </w:tc>
        <w:tc>
          <w:tcPr>
            <w:tcW w:w="1680" w:type="dxa"/>
            <w:shd w:val="clear" w:color="auto" w:fill="FFFF00"/>
          </w:tcPr>
          <w:p w:rsidR="00B358E3" w:rsidRDefault="00B358E3" w:rsidP="00AF1D50">
            <w:pPr>
              <w:rPr>
                <w:rFonts w:ascii="Arial" w:hAnsi="Arial" w:cs="Arial"/>
                <w:sz w:val="20"/>
                <w:szCs w:val="20"/>
              </w:rPr>
            </w:pPr>
          </w:p>
        </w:tc>
        <w:tc>
          <w:tcPr>
            <w:tcW w:w="1815" w:type="dxa"/>
            <w:shd w:val="clear" w:color="auto" w:fill="FFFF00"/>
          </w:tcPr>
          <w:p w:rsidR="00B358E3" w:rsidRDefault="00B358E3" w:rsidP="00AF1D50">
            <w:pPr>
              <w:rPr>
                <w:rFonts w:ascii="Arial" w:hAnsi="Arial" w:cs="Arial"/>
                <w:sz w:val="20"/>
                <w:szCs w:val="20"/>
              </w:rPr>
            </w:pPr>
          </w:p>
        </w:tc>
      </w:tr>
      <w:tr w:rsidR="00B358E3" w:rsidTr="00B358E3">
        <w:tc>
          <w:tcPr>
            <w:tcW w:w="1939" w:type="dxa"/>
          </w:tcPr>
          <w:p w:rsidR="00B358E3" w:rsidRDefault="00B358E3" w:rsidP="00AF1D50">
            <w:pPr>
              <w:rPr>
                <w:rFonts w:ascii="Arial" w:hAnsi="Arial" w:cs="Arial"/>
                <w:sz w:val="20"/>
                <w:szCs w:val="20"/>
              </w:rPr>
            </w:pPr>
            <w:r>
              <w:rPr>
                <w:rFonts w:ascii="Arial" w:hAnsi="Arial" w:cs="Arial"/>
                <w:sz w:val="20"/>
                <w:szCs w:val="20"/>
              </w:rPr>
              <w:t>Tribal Cohort</w:t>
            </w:r>
          </w:p>
        </w:tc>
        <w:tc>
          <w:tcPr>
            <w:tcW w:w="1939" w:type="dxa"/>
            <w:shd w:val="clear" w:color="auto" w:fill="FFFF00"/>
          </w:tcPr>
          <w:p w:rsidR="00B358E3" w:rsidRDefault="00B358E3" w:rsidP="00B358E3">
            <w:pPr>
              <w:rPr>
                <w:rFonts w:ascii="Arial" w:hAnsi="Arial" w:cs="Arial"/>
                <w:sz w:val="20"/>
                <w:szCs w:val="20"/>
              </w:rPr>
            </w:pPr>
          </w:p>
        </w:tc>
        <w:tc>
          <w:tcPr>
            <w:tcW w:w="2170" w:type="dxa"/>
            <w:shd w:val="clear" w:color="auto" w:fill="FFFF00"/>
          </w:tcPr>
          <w:p w:rsidR="00B358E3" w:rsidRPr="00CE4E95" w:rsidRDefault="00B358E3" w:rsidP="00AF1D50">
            <w:pPr>
              <w:rPr>
                <w:rFonts w:ascii="Arial" w:hAnsi="Arial" w:cs="Arial"/>
                <w:sz w:val="20"/>
                <w:szCs w:val="20"/>
                <w:highlight w:val="yellow"/>
              </w:rPr>
            </w:pPr>
          </w:p>
        </w:tc>
        <w:tc>
          <w:tcPr>
            <w:tcW w:w="1680" w:type="dxa"/>
            <w:shd w:val="clear" w:color="auto" w:fill="FFFF00"/>
          </w:tcPr>
          <w:p w:rsidR="00B358E3" w:rsidRDefault="00B358E3" w:rsidP="00AF1D50">
            <w:pPr>
              <w:rPr>
                <w:rFonts w:ascii="Arial" w:hAnsi="Arial" w:cs="Arial"/>
                <w:sz w:val="20"/>
                <w:szCs w:val="20"/>
              </w:rPr>
            </w:pPr>
          </w:p>
        </w:tc>
        <w:tc>
          <w:tcPr>
            <w:tcW w:w="1815" w:type="dxa"/>
            <w:shd w:val="clear" w:color="auto" w:fill="FFFF00"/>
          </w:tcPr>
          <w:p w:rsidR="00B358E3" w:rsidRDefault="00B358E3" w:rsidP="00AF1D50">
            <w:pPr>
              <w:rPr>
                <w:rFonts w:ascii="Arial" w:hAnsi="Arial" w:cs="Arial"/>
                <w:sz w:val="20"/>
                <w:szCs w:val="20"/>
              </w:rPr>
            </w:pPr>
          </w:p>
        </w:tc>
      </w:tr>
      <w:tr w:rsidR="00B358E3" w:rsidTr="00B358E3">
        <w:tc>
          <w:tcPr>
            <w:tcW w:w="1939" w:type="dxa"/>
          </w:tcPr>
          <w:p w:rsidR="00B358E3" w:rsidRDefault="00B358E3" w:rsidP="00AF1D50">
            <w:pPr>
              <w:rPr>
                <w:rFonts w:ascii="Arial" w:hAnsi="Arial" w:cs="Arial"/>
                <w:sz w:val="20"/>
                <w:szCs w:val="20"/>
              </w:rPr>
            </w:pPr>
            <w:r>
              <w:rPr>
                <w:rFonts w:ascii="Arial" w:hAnsi="Arial" w:cs="Arial"/>
                <w:sz w:val="20"/>
                <w:szCs w:val="20"/>
              </w:rPr>
              <w:t>General Cohort</w:t>
            </w:r>
          </w:p>
        </w:tc>
        <w:tc>
          <w:tcPr>
            <w:tcW w:w="1939" w:type="dxa"/>
            <w:shd w:val="clear" w:color="auto" w:fill="FFFF00"/>
          </w:tcPr>
          <w:p w:rsidR="00B358E3" w:rsidRDefault="00B358E3" w:rsidP="00AF1D50">
            <w:pPr>
              <w:rPr>
                <w:rFonts w:ascii="Arial" w:hAnsi="Arial" w:cs="Arial"/>
                <w:sz w:val="20"/>
                <w:szCs w:val="20"/>
              </w:rPr>
            </w:pPr>
          </w:p>
        </w:tc>
        <w:tc>
          <w:tcPr>
            <w:tcW w:w="2170" w:type="dxa"/>
            <w:shd w:val="clear" w:color="auto" w:fill="FFFF00"/>
          </w:tcPr>
          <w:p w:rsidR="00B358E3" w:rsidRPr="00CE4E95" w:rsidRDefault="00B358E3" w:rsidP="00AF1D50">
            <w:pPr>
              <w:rPr>
                <w:rFonts w:ascii="Arial" w:hAnsi="Arial" w:cs="Arial"/>
                <w:sz w:val="20"/>
                <w:szCs w:val="20"/>
                <w:highlight w:val="yellow"/>
              </w:rPr>
            </w:pPr>
          </w:p>
        </w:tc>
        <w:tc>
          <w:tcPr>
            <w:tcW w:w="1680" w:type="dxa"/>
            <w:shd w:val="clear" w:color="auto" w:fill="FFFF00"/>
          </w:tcPr>
          <w:p w:rsidR="00B358E3" w:rsidRDefault="00B358E3" w:rsidP="00AF1D50">
            <w:pPr>
              <w:rPr>
                <w:rFonts w:ascii="Arial" w:hAnsi="Arial" w:cs="Arial"/>
                <w:sz w:val="20"/>
                <w:szCs w:val="20"/>
              </w:rPr>
            </w:pPr>
          </w:p>
        </w:tc>
        <w:tc>
          <w:tcPr>
            <w:tcW w:w="1815" w:type="dxa"/>
            <w:shd w:val="clear" w:color="auto" w:fill="FFFF00"/>
          </w:tcPr>
          <w:p w:rsidR="00B358E3" w:rsidRDefault="00B358E3" w:rsidP="00AF1D50">
            <w:pPr>
              <w:rPr>
                <w:rFonts w:ascii="Arial" w:hAnsi="Arial" w:cs="Arial"/>
                <w:sz w:val="20"/>
                <w:szCs w:val="20"/>
              </w:rPr>
            </w:pPr>
          </w:p>
        </w:tc>
      </w:tr>
    </w:tbl>
    <w:p w:rsidR="00401E00" w:rsidRDefault="00401E00">
      <w:pPr>
        <w:rPr>
          <w:b/>
          <w:u w:val="single"/>
        </w:rPr>
      </w:pPr>
    </w:p>
    <w:p w:rsidR="00B358E3" w:rsidRPr="00401E00" w:rsidRDefault="001D16F7">
      <w:pPr>
        <w:rPr>
          <w:b/>
          <w:u w:val="single"/>
        </w:rPr>
      </w:pPr>
      <w:r w:rsidRPr="00401E00">
        <w:rPr>
          <w:b/>
          <w:u w:val="single"/>
        </w:rPr>
        <w:lastRenderedPageBreak/>
        <w:t>Performance Assessment: Mission Fulfillment</w:t>
      </w:r>
      <w:r w:rsidR="00401E00">
        <w:rPr>
          <w:b/>
          <w:u w:val="single"/>
        </w:rPr>
        <w:t>:</w:t>
      </w:r>
    </w:p>
    <w:p w:rsidR="00C84E77" w:rsidRDefault="001D16F7" w:rsidP="001D16F7">
      <w:pPr>
        <w:rPr>
          <w:rFonts w:ascii="Arial" w:hAnsi="Arial" w:cs="Arial"/>
          <w:sz w:val="20"/>
          <w:szCs w:val="20"/>
        </w:rPr>
      </w:pPr>
      <w:r>
        <w:rPr>
          <w:rFonts w:ascii="Arial" w:hAnsi="Arial" w:cs="Arial"/>
          <w:sz w:val="20"/>
          <w:szCs w:val="20"/>
        </w:rPr>
        <w:t>For year the Evergreen MPA program has asked itself “</w:t>
      </w:r>
      <w:r w:rsidR="00C84E77">
        <w:rPr>
          <w:rFonts w:ascii="Arial" w:hAnsi="Arial" w:cs="Arial"/>
          <w:sz w:val="20"/>
          <w:szCs w:val="20"/>
        </w:rPr>
        <w:t>A</w:t>
      </w:r>
      <w:r>
        <w:rPr>
          <w:rFonts w:ascii="Arial" w:hAnsi="Arial" w:cs="Arial"/>
          <w:sz w:val="20"/>
          <w:szCs w:val="20"/>
        </w:rPr>
        <w:t xml:space="preserve">re we serving </w:t>
      </w:r>
      <w:r w:rsidR="00C84E77">
        <w:rPr>
          <w:rFonts w:ascii="Arial" w:hAnsi="Arial" w:cs="Arial"/>
          <w:sz w:val="20"/>
          <w:szCs w:val="20"/>
        </w:rPr>
        <w:t>students</w:t>
      </w:r>
      <w:r>
        <w:rPr>
          <w:rFonts w:ascii="Arial" w:hAnsi="Arial" w:cs="Arial"/>
          <w:sz w:val="20"/>
          <w:szCs w:val="20"/>
        </w:rPr>
        <w:t xml:space="preserve">?” Overall, the answer </w:t>
      </w:r>
      <w:r>
        <w:rPr>
          <w:rFonts w:ascii="Arial" w:hAnsi="Arial" w:cs="Arial"/>
          <w:sz w:val="20"/>
          <w:szCs w:val="20"/>
        </w:rPr>
        <w:t>is most certainly</w:t>
      </w:r>
      <w:r>
        <w:rPr>
          <w:rFonts w:ascii="Arial" w:hAnsi="Arial" w:cs="Arial"/>
          <w:sz w:val="20"/>
          <w:szCs w:val="20"/>
        </w:rPr>
        <w:t xml:space="preserve"> yes. </w:t>
      </w:r>
      <w:r>
        <w:rPr>
          <w:rFonts w:ascii="Arial" w:hAnsi="Arial" w:cs="Arial"/>
          <w:sz w:val="20"/>
          <w:szCs w:val="20"/>
        </w:rPr>
        <w:t xml:space="preserve">The MPA faculty adopted the current mission beginning in the </w:t>
      </w:r>
      <w:proofErr w:type="gramStart"/>
      <w:r>
        <w:rPr>
          <w:rFonts w:ascii="Arial" w:hAnsi="Arial" w:cs="Arial"/>
          <w:sz w:val="20"/>
          <w:szCs w:val="20"/>
        </w:rPr>
        <w:t>Fall</w:t>
      </w:r>
      <w:proofErr w:type="gramEnd"/>
      <w:r>
        <w:rPr>
          <w:rFonts w:ascii="Arial" w:hAnsi="Arial" w:cs="Arial"/>
          <w:sz w:val="20"/>
          <w:szCs w:val="20"/>
        </w:rPr>
        <w:t xml:space="preserve"> of 2006.  We now have comparative data on mission accomplishment si</w:t>
      </w:r>
      <w:r>
        <w:rPr>
          <w:rFonts w:ascii="Arial" w:hAnsi="Arial" w:cs="Arial"/>
          <w:sz w:val="20"/>
          <w:szCs w:val="20"/>
        </w:rPr>
        <w:t xml:space="preserve">nce in the </w:t>
      </w:r>
      <w:proofErr w:type="gramStart"/>
      <w:r>
        <w:rPr>
          <w:rFonts w:ascii="Arial" w:hAnsi="Arial" w:cs="Arial"/>
          <w:sz w:val="20"/>
          <w:szCs w:val="20"/>
        </w:rPr>
        <w:t>Spring</w:t>
      </w:r>
      <w:proofErr w:type="gramEnd"/>
      <w:r>
        <w:rPr>
          <w:rFonts w:ascii="Arial" w:hAnsi="Arial" w:cs="Arial"/>
          <w:sz w:val="20"/>
          <w:szCs w:val="20"/>
        </w:rPr>
        <w:t xml:space="preserve"> of 2005</w:t>
      </w:r>
      <w:r>
        <w:rPr>
          <w:rFonts w:ascii="Arial" w:hAnsi="Arial" w:cs="Arial"/>
          <w:sz w:val="20"/>
          <w:szCs w:val="20"/>
        </w:rPr>
        <w:t xml:space="preserve">.  It has consistently shown that students have reported increased knowledge, skills, and abilities at healthy levels. </w:t>
      </w:r>
    </w:p>
    <w:p w:rsidR="001D16F7" w:rsidRDefault="001D16F7" w:rsidP="001D16F7">
      <w:pPr>
        <w:rPr>
          <w:rFonts w:ascii="Arial" w:hAnsi="Arial" w:cs="Arial"/>
          <w:sz w:val="20"/>
          <w:szCs w:val="20"/>
        </w:rPr>
      </w:pPr>
      <w:r>
        <w:rPr>
          <w:rFonts w:ascii="Arial" w:hAnsi="Arial" w:cs="Arial"/>
          <w:sz w:val="20"/>
          <w:szCs w:val="20"/>
        </w:rPr>
        <w:t>We ask students to tell us the extent to which their capabilities have been enhanced, due to their work in the MPA program, in our primary missio</w:t>
      </w:r>
      <w:r>
        <w:rPr>
          <w:rFonts w:ascii="Arial" w:hAnsi="Arial" w:cs="Arial"/>
          <w:sz w:val="20"/>
          <w:szCs w:val="20"/>
        </w:rPr>
        <w:t>n areas, as indicated in Table 3</w:t>
      </w:r>
      <w:r>
        <w:rPr>
          <w:rFonts w:ascii="Arial" w:hAnsi="Arial" w:cs="Arial"/>
          <w:sz w:val="20"/>
          <w:szCs w:val="20"/>
        </w:rPr>
        <w:t xml:space="preserve">.  Most students indicated that their capabilities in mission-related areas have been enhanced </w:t>
      </w:r>
      <w:r w:rsidR="00C84E77">
        <w:rPr>
          <w:rFonts w:ascii="Arial" w:hAnsi="Arial" w:cs="Arial"/>
          <w:sz w:val="20"/>
          <w:szCs w:val="20"/>
        </w:rPr>
        <w:t>to a great or moderate extent. The weakest area appeared to be Embracing Diversity, where 21% of respondents stated that the program</w:t>
      </w:r>
      <w:r w:rsidR="00C84E77" w:rsidRPr="00C84E77">
        <w:rPr>
          <w:rFonts w:ascii="Arial" w:hAnsi="Arial" w:cs="Arial"/>
          <w:sz w:val="20"/>
          <w:szCs w:val="20"/>
        </w:rPr>
        <w:t xml:space="preserve"> enhanced their capabilities </w:t>
      </w:r>
      <w:r w:rsidR="00C84E77">
        <w:rPr>
          <w:rFonts w:ascii="Arial" w:hAnsi="Arial" w:cs="Arial"/>
          <w:sz w:val="20"/>
          <w:szCs w:val="20"/>
        </w:rPr>
        <w:t>to some extent.</w:t>
      </w:r>
    </w:p>
    <w:p w:rsidR="00401E00" w:rsidRDefault="00401E00" w:rsidP="001D16F7">
      <w:pPr>
        <w:rPr>
          <w:rFonts w:ascii="Arial" w:hAnsi="Arial" w:cs="Arial"/>
          <w:sz w:val="20"/>
          <w:szCs w:val="20"/>
        </w:rPr>
      </w:pPr>
      <w:bookmarkStart w:id="0" w:name="_GoBack"/>
    </w:p>
    <w:p w:rsidR="00401E00" w:rsidRDefault="00401E00" w:rsidP="001D16F7">
      <w:pPr>
        <w:rPr>
          <w:rFonts w:ascii="Arial" w:hAnsi="Arial" w:cs="Arial"/>
          <w:sz w:val="20"/>
          <w:szCs w:val="20"/>
        </w:rPr>
      </w:pPr>
      <w:r>
        <w:rPr>
          <w:rFonts w:ascii="Arial" w:hAnsi="Arial" w:cs="Arial"/>
          <w:sz w:val="20"/>
          <w:szCs w:val="20"/>
        </w:rPr>
        <w:t>Performance Assessment: Coursework</w:t>
      </w:r>
    </w:p>
    <w:bookmarkEnd w:id="0"/>
    <w:p w:rsidR="00401E00" w:rsidRPr="00C84E77" w:rsidRDefault="00401E00" w:rsidP="001D16F7">
      <w:pPr>
        <w:rPr>
          <w:rFonts w:ascii="Arial" w:hAnsi="Arial" w:cs="Arial"/>
          <w:sz w:val="20"/>
          <w:szCs w:val="20"/>
        </w:rPr>
      </w:pPr>
    </w:p>
    <w:sectPr w:rsidR="00401E00" w:rsidRPr="00C84E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13" w:rsidRDefault="001F2B13" w:rsidP="0002629F">
      <w:pPr>
        <w:spacing w:after="0" w:line="240" w:lineRule="auto"/>
      </w:pPr>
      <w:r>
        <w:separator/>
      </w:r>
    </w:p>
  </w:endnote>
  <w:endnote w:type="continuationSeparator" w:id="0">
    <w:p w:rsidR="001F2B13" w:rsidRDefault="001F2B13" w:rsidP="0002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13" w:rsidRDefault="001F2B13" w:rsidP="0002629F">
      <w:pPr>
        <w:spacing w:after="0" w:line="240" w:lineRule="auto"/>
      </w:pPr>
      <w:r>
        <w:separator/>
      </w:r>
    </w:p>
  </w:footnote>
  <w:footnote w:type="continuationSeparator" w:id="0">
    <w:p w:rsidR="001F2B13" w:rsidRDefault="001F2B13" w:rsidP="00026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5225"/>
    <w:multiLevelType w:val="hybridMultilevel"/>
    <w:tmpl w:val="191A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B9"/>
    <w:rsid w:val="0002629F"/>
    <w:rsid w:val="000439D1"/>
    <w:rsid w:val="001D16F7"/>
    <w:rsid w:val="001F2B13"/>
    <w:rsid w:val="003435FB"/>
    <w:rsid w:val="003D2453"/>
    <w:rsid w:val="00401E00"/>
    <w:rsid w:val="00A94DD7"/>
    <w:rsid w:val="00B22C37"/>
    <w:rsid w:val="00B26DC0"/>
    <w:rsid w:val="00B358E3"/>
    <w:rsid w:val="00C84E77"/>
    <w:rsid w:val="00CE4E95"/>
    <w:rsid w:val="00D264B9"/>
    <w:rsid w:val="00E0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A4"/>
    <w:pPr>
      <w:ind w:left="720"/>
      <w:contextualSpacing/>
    </w:pPr>
  </w:style>
  <w:style w:type="paragraph" w:styleId="FootnoteText">
    <w:name w:val="footnote text"/>
    <w:basedOn w:val="Normal"/>
    <w:link w:val="FootnoteTextChar"/>
    <w:semiHidden/>
    <w:rsid w:val="000262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629F"/>
    <w:rPr>
      <w:rFonts w:ascii="Times New Roman" w:eastAsia="Times New Roman" w:hAnsi="Times New Roman" w:cs="Times New Roman"/>
      <w:sz w:val="20"/>
      <w:szCs w:val="20"/>
    </w:rPr>
  </w:style>
  <w:style w:type="character" w:styleId="FootnoteReference">
    <w:name w:val="footnote reference"/>
    <w:basedOn w:val="DefaultParagraphFont"/>
    <w:semiHidden/>
    <w:rsid w:val="0002629F"/>
    <w:rPr>
      <w:vertAlign w:val="superscript"/>
    </w:rPr>
  </w:style>
  <w:style w:type="table" w:styleId="TableGrid">
    <w:name w:val="Table Grid"/>
    <w:basedOn w:val="TableNormal"/>
    <w:uiPriority w:val="59"/>
    <w:rsid w:val="00CE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A4"/>
    <w:pPr>
      <w:ind w:left="720"/>
      <w:contextualSpacing/>
    </w:pPr>
  </w:style>
  <w:style w:type="paragraph" w:styleId="FootnoteText">
    <w:name w:val="footnote text"/>
    <w:basedOn w:val="Normal"/>
    <w:link w:val="FootnoteTextChar"/>
    <w:semiHidden/>
    <w:rsid w:val="000262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629F"/>
    <w:rPr>
      <w:rFonts w:ascii="Times New Roman" w:eastAsia="Times New Roman" w:hAnsi="Times New Roman" w:cs="Times New Roman"/>
      <w:sz w:val="20"/>
      <w:szCs w:val="20"/>
    </w:rPr>
  </w:style>
  <w:style w:type="character" w:styleId="FootnoteReference">
    <w:name w:val="footnote reference"/>
    <w:basedOn w:val="DefaultParagraphFont"/>
    <w:semiHidden/>
    <w:rsid w:val="0002629F"/>
    <w:rPr>
      <w:vertAlign w:val="superscript"/>
    </w:rPr>
  </w:style>
  <w:style w:type="table" w:styleId="TableGrid">
    <w:name w:val="Table Grid"/>
    <w:basedOn w:val="TableNormal"/>
    <w:uiPriority w:val="59"/>
    <w:rsid w:val="00CE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Lianna (Staff)</dc:creator>
  <cp:lastModifiedBy>Shepherd, Lianna (Staff)</cp:lastModifiedBy>
  <cp:revision>2</cp:revision>
  <dcterms:created xsi:type="dcterms:W3CDTF">2017-08-16T16:48:00Z</dcterms:created>
  <dcterms:modified xsi:type="dcterms:W3CDTF">2017-08-23T17:12:00Z</dcterms:modified>
</cp:coreProperties>
</file>