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331"/>
        <w:gridCol w:w="10659"/>
      </w:tblGrid>
      <w:tr w:rsidR="00C24D1F" w:rsidRPr="00C24D1F" w:rsidTr="00C24D1F">
        <w:trPr>
          <w:tblHeader/>
          <w:tblCellSpacing w:w="0" w:type="dxa"/>
        </w:trPr>
        <w:tc>
          <w:tcPr>
            <w:tcW w:w="0" w:type="auto"/>
            <w:vAlign w:val="center"/>
            <w:hideMark/>
          </w:tcPr>
          <w:p w:rsidR="00C24D1F" w:rsidRPr="00C24D1F" w:rsidRDefault="00C24D1F" w:rsidP="00C24D1F">
            <w:pPr>
              <w:spacing w:after="0" w:line="240" w:lineRule="auto"/>
              <w:jc w:val="center"/>
              <w:rPr>
                <w:rFonts w:ascii="Times New Roman" w:eastAsia="Times New Roman" w:hAnsi="Times New Roman" w:cs="Times New Roman"/>
                <w:b/>
                <w:bCs/>
                <w:sz w:val="24"/>
                <w:szCs w:val="24"/>
              </w:rPr>
            </w:pPr>
            <w:r w:rsidRPr="00C24D1F">
              <w:rPr>
                <w:rFonts w:ascii="Times New Roman" w:eastAsia="Times New Roman" w:hAnsi="Times New Roman" w:cs="Times New Roman"/>
                <w:b/>
                <w:bCs/>
                <w:sz w:val="24"/>
                <w:szCs w:val="24"/>
              </w:rPr>
              <w:t>Endorsement Type Name</w:t>
            </w:r>
          </w:p>
        </w:tc>
        <w:tc>
          <w:tcPr>
            <w:tcW w:w="0" w:type="auto"/>
            <w:vAlign w:val="center"/>
            <w:hideMark/>
          </w:tcPr>
          <w:p w:rsidR="00C24D1F" w:rsidRPr="00C24D1F" w:rsidRDefault="00C24D1F" w:rsidP="00C24D1F">
            <w:pPr>
              <w:spacing w:after="0" w:line="240" w:lineRule="auto"/>
              <w:jc w:val="center"/>
              <w:rPr>
                <w:rFonts w:ascii="Times New Roman" w:eastAsia="Times New Roman" w:hAnsi="Times New Roman" w:cs="Times New Roman"/>
                <w:b/>
                <w:bCs/>
                <w:sz w:val="24"/>
                <w:szCs w:val="24"/>
              </w:rPr>
            </w:pPr>
            <w:r w:rsidRPr="00C24D1F">
              <w:rPr>
                <w:rFonts w:ascii="Times New Roman" w:eastAsia="Times New Roman" w:hAnsi="Times New Roman" w:cs="Times New Roman"/>
                <w:b/>
                <w:bCs/>
                <w:sz w:val="24"/>
                <w:szCs w:val="24"/>
              </w:rPr>
              <w:t>State Course Name</w:t>
            </w:r>
          </w:p>
        </w:tc>
      </w:tr>
      <w:tr w:rsidR="00C24D1F" w:rsidRPr="00C24D1F" w:rsidTr="00C24D1F">
        <w:trPr>
          <w:tblCellSpacing w:w="0" w:type="dxa"/>
        </w:trPr>
        <w:tc>
          <w:tcPr>
            <w:tcW w:w="0" w:type="auto"/>
            <w:vAlign w:val="center"/>
            <w:hideMark/>
          </w:tcPr>
          <w:p w:rsidR="00C24D1F" w:rsidRPr="00C24D1F" w:rsidRDefault="00C24D1F" w:rsidP="00C24D1F">
            <w:pPr>
              <w:spacing w:after="0" w:line="240" w:lineRule="auto"/>
              <w:rPr>
                <w:rFonts w:ascii="Times New Roman" w:eastAsia="Times New Roman" w:hAnsi="Times New Roman" w:cs="Times New Roman"/>
                <w:sz w:val="24"/>
                <w:szCs w:val="24"/>
              </w:rPr>
            </w:pPr>
            <w:r w:rsidRPr="00C24D1F">
              <w:rPr>
                <w:rFonts w:ascii="Times New Roman" w:eastAsia="Times New Roman" w:hAnsi="Times New Roman" w:cs="Times New Roman"/>
                <w:sz w:val="24"/>
                <w:szCs w:val="24"/>
              </w:rPr>
              <w:t>ELEMENTARY EDUCATION</w:t>
            </w:r>
          </w:p>
        </w:tc>
        <w:tc>
          <w:tcPr>
            <w:tcW w:w="0" w:type="auto"/>
            <w:vAlign w:val="center"/>
            <w:hideMark/>
          </w:tcPr>
          <w:p w:rsidR="00C24D1F" w:rsidRPr="00C24D1F" w:rsidRDefault="00C24D1F" w:rsidP="00C24D1F">
            <w:pPr>
              <w:spacing w:after="0" w:line="240" w:lineRule="auto"/>
              <w:rPr>
                <w:rFonts w:ascii="Times New Roman" w:eastAsia="Times New Roman" w:hAnsi="Times New Roman" w:cs="Times New Roman"/>
                <w:sz w:val="24"/>
                <w:szCs w:val="24"/>
              </w:rPr>
            </w:pPr>
            <w:r w:rsidRPr="00C24D1F">
              <w:rPr>
                <w:rFonts w:ascii="Times New Roman" w:eastAsia="Times New Roman" w:hAnsi="Times New Roman" w:cs="Times New Roman"/>
                <w:sz w:val="24"/>
                <w:szCs w:val="24"/>
              </w:rPr>
              <w:t>Informal Mathematics 02001, General Math 02002, Particular Topics in Foundation Math 02003, Foundation Math-Independent Study 02047, Foundation Math-Other 02049, Pre-Algebra 02051, General Applied Math 02151</w:t>
            </w:r>
          </w:p>
        </w:tc>
      </w:tr>
    </w:tbl>
    <w:p w:rsidR="00F51ECC" w:rsidRDefault="00F51ECC"/>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340"/>
        <w:gridCol w:w="10650"/>
      </w:tblGrid>
      <w:tr w:rsidR="00C24D1F" w:rsidRPr="00C24D1F" w:rsidTr="00C24D1F">
        <w:trPr>
          <w:tblCellSpacing w:w="0" w:type="dxa"/>
        </w:trPr>
        <w:tc>
          <w:tcPr>
            <w:tcW w:w="0" w:type="auto"/>
            <w:vAlign w:val="center"/>
            <w:hideMark/>
          </w:tcPr>
          <w:p w:rsidR="00C24D1F" w:rsidRPr="00C24D1F" w:rsidRDefault="00C24D1F" w:rsidP="00C24D1F">
            <w:pPr>
              <w:spacing w:after="0" w:line="240" w:lineRule="auto"/>
              <w:rPr>
                <w:rFonts w:ascii="Times New Roman" w:eastAsia="Times New Roman" w:hAnsi="Times New Roman" w:cs="Times New Roman"/>
                <w:sz w:val="24"/>
                <w:szCs w:val="24"/>
              </w:rPr>
            </w:pPr>
            <w:r w:rsidRPr="00C24D1F">
              <w:rPr>
                <w:rFonts w:ascii="Times New Roman" w:eastAsia="Times New Roman" w:hAnsi="Times New Roman" w:cs="Times New Roman"/>
                <w:sz w:val="24"/>
                <w:szCs w:val="24"/>
              </w:rPr>
              <w:t>MIDDLE LEVEL MATHEMATICS</w:t>
            </w:r>
          </w:p>
        </w:tc>
        <w:tc>
          <w:tcPr>
            <w:tcW w:w="0" w:type="auto"/>
            <w:vAlign w:val="center"/>
            <w:hideMark/>
          </w:tcPr>
          <w:p w:rsidR="00C24D1F" w:rsidRPr="00C24D1F" w:rsidRDefault="00C24D1F" w:rsidP="00C24D1F">
            <w:pPr>
              <w:spacing w:after="0" w:line="240" w:lineRule="auto"/>
              <w:rPr>
                <w:rFonts w:ascii="Times New Roman" w:eastAsia="Times New Roman" w:hAnsi="Times New Roman" w:cs="Times New Roman"/>
                <w:sz w:val="24"/>
                <w:szCs w:val="24"/>
              </w:rPr>
            </w:pPr>
            <w:r w:rsidRPr="00C24D1F">
              <w:rPr>
                <w:rFonts w:ascii="Times New Roman" w:eastAsia="Times New Roman" w:hAnsi="Times New Roman" w:cs="Times New Roman"/>
                <w:sz w:val="24"/>
                <w:szCs w:val="24"/>
              </w:rPr>
              <w:t>Informal Mathematics, General Math, Particular Topics in Foundation Math, Foundation Math—Independent Study, Foundation Math—Other, Pre-Algebra, Algebra I, Algebra I—Part 1, Algebra I—Part 2, Particular Topics in Algebra, Integrated Math—multi-year equivalent, Algebra—Other, General Applied Math, Occupationally Applied Math, Technical Math, Business Math, Business Math with Algebra, Consumer Math, Informal Mathematics, General Math, Particular Topics in Foundation Math, Mathematics (grade 3), Mathematics (grade 4), Mathematics (grade 5), Mathematics (grade 6), Mathematics (grade 7), Mathematics (grade 8), Mathematics—General, Foundation Math—Independent Study, Foundation Math—Other, Pre-Algebra, Algebra I, Integrated Math—multi-year equivalent, Algebra—Other, Consumer Math, History of Math, Mathematics—Test Preparation, Mathematics Proficiency Development, Mathematics—Supplemental, Mathematics—Independent Study, Mathematics—Other, IB Mathematics, Middle Years Program</w:t>
            </w:r>
          </w:p>
        </w:tc>
      </w:tr>
    </w:tbl>
    <w:p w:rsidR="00C24D1F" w:rsidRDefault="00C24D1F"/>
    <w:p w:rsidR="00C24D1F" w:rsidRDefault="00C24D1F"/>
    <w:p w:rsidR="00C24D1F" w:rsidRDefault="00C24D1F">
      <w:bookmarkStart w:id="0" w:name="_GoBack"/>
      <w:bookmarkEnd w:id="0"/>
    </w:p>
    <w:p w:rsidR="00C24D1F" w:rsidRDefault="00C24D1F"/>
    <w:p w:rsidR="00C24D1F" w:rsidRDefault="00C24D1F"/>
    <w:p w:rsidR="00C24D1F" w:rsidRDefault="00C24D1F"/>
    <w:p w:rsidR="00C24D1F" w:rsidRDefault="00C24D1F"/>
    <w:p w:rsidR="00C24D1F" w:rsidRDefault="00C24D1F"/>
    <w:p w:rsidR="00C24D1F" w:rsidRDefault="00C24D1F"/>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043"/>
        <w:gridCol w:w="10947"/>
      </w:tblGrid>
      <w:tr w:rsidR="00C24D1F" w:rsidRPr="00C24D1F" w:rsidTr="00C24D1F">
        <w:trPr>
          <w:tblHeader/>
          <w:tblCellSpacing w:w="0" w:type="dxa"/>
        </w:trPr>
        <w:tc>
          <w:tcPr>
            <w:tcW w:w="0" w:type="auto"/>
            <w:vAlign w:val="center"/>
            <w:hideMark/>
          </w:tcPr>
          <w:p w:rsidR="00C24D1F" w:rsidRPr="00C24D1F" w:rsidRDefault="00C24D1F" w:rsidP="00C24D1F">
            <w:pPr>
              <w:spacing w:after="0" w:line="240" w:lineRule="auto"/>
              <w:jc w:val="center"/>
              <w:rPr>
                <w:rFonts w:ascii="Times New Roman" w:eastAsia="Times New Roman" w:hAnsi="Times New Roman" w:cs="Times New Roman"/>
                <w:b/>
                <w:bCs/>
                <w:sz w:val="24"/>
                <w:szCs w:val="24"/>
              </w:rPr>
            </w:pPr>
            <w:r w:rsidRPr="00C24D1F">
              <w:rPr>
                <w:rFonts w:ascii="Times New Roman" w:eastAsia="Times New Roman" w:hAnsi="Times New Roman" w:cs="Times New Roman"/>
                <w:b/>
                <w:bCs/>
                <w:sz w:val="24"/>
                <w:szCs w:val="24"/>
              </w:rPr>
              <w:lastRenderedPageBreak/>
              <w:t>Endorsement Type Name</w:t>
            </w:r>
          </w:p>
        </w:tc>
        <w:tc>
          <w:tcPr>
            <w:tcW w:w="0" w:type="auto"/>
            <w:vAlign w:val="center"/>
            <w:hideMark/>
          </w:tcPr>
          <w:p w:rsidR="00C24D1F" w:rsidRPr="00C24D1F" w:rsidRDefault="00C24D1F" w:rsidP="00C24D1F">
            <w:pPr>
              <w:spacing w:after="0" w:line="240" w:lineRule="auto"/>
              <w:jc w:val="center"/>
              <w:rPr>
                <w:rFonts w:ascii="Times New Roman" w:eastAsia="Times New Roman" w:hAnsi="Times New Roman" w:cs="Times New Roman"/>
                <w:b/>
                <w:bCs/>
                <w:sz w:val="24"/>
                <w:szCs w:val="24"/>
              </w:rPr>
            </w:pPr>
            <w:r w:rsidRPr="00C24D1F">
              <w:rPr>
                <w:rFonts w:ascii="Times New Roman" w:eastAsia="Times New Roman" w:hAnsi="Times New Roman" w:cs="Times New Roman"/>
                <w:b/>
                <w:bCs/>
                <w:sz w:val="24"/>
                <w:szCs w:val="24"/>
              </w:rPr>
              <w:t>State Course Name</w:t>
            </w:r>
          </w:p>
        </w:tc>
      </w:tr>
      <w:tr w:rsidR="00C24D1F" w:rsidRPr="00C24D1F" w:rsidTr="00C24D1F">
        <w:trPr>
          <w:tblCellSpacing w:w="0" w:type="dxa"/>
        </w:trPr>
        <w:tc>
          <w:tcPr>
            <w:tcW w:w="0" w:type="auto"/>
            <w:vAlign w:val="center"/>
            <w:hideMark/>
          </w:tcPr>
          <w:p w:rsidR="00C24D1F" w:rsidRPr="00C24D1F" w:rsidRDefault="00C24D1F" w:rsidP="00C24D1F">
            <w:pPr>
              <w:spacing w:after="0" w:line="240" w:lineRule="auto"/>
              <w:rPr>
                <w:rFonts w:ascii="Times New Roman" w:eastAsia="Times New Roman" w:hAnsi="Times New Roman" w:cs="Times New Roman"/>
                <w:sz w:val="24"/>
                <w:szCs w:val="24"/>
              </w:rPr>
            </w:pPr>
            <w:r w:rsidRPr="00C24D1F">
              <w:rPr>
                <w:rFonts w:ascii="Times New Roman" w:eastAsia="Times New Roman" w:hAnsi="Times New Roman" w:cs="Times New Roman"/>
                <w:sz w:val="24"/>
                <w:szCs w:val="24"/>
              </w:rPr>
              <w:t>MATHEMATICS</w:t>
            </w:r>
          </w:p>
        </w:tc>
        <w:tc>
          <w:tcPr>
            <w:tcW w:w="0" w:type="auto"/>
            <w:vAlign w:val="center"/>
            <w:hideMark/>
          </w:tcPr>
          <w:p w:rsidR="00C24D1F" w:rsidRPr="00C24D1F" w:rsidRDefault="00C24D1F" w:rsidP="00C24D1F">
            <w:pPr>
              <w:spacing w:after="0" w:line="240" w:lineRule="auto"/>
              <w:rPr>
                <w:rFonts w:ascii="Times New Roman" w:eastAsia="Times New Roman" w:hAnsi="Times New Roman" w:cs="Times New Roman"/>
                <w:sz w:val="24"/>
                <w:szCs w:val="24"/>
              </w:rPr>
            </w:pPr>
            <w:r w:rsidRPr="00C24D1F">
              <w:rPr>
                <w:rFonts w:ascii="Times New Roman" w:eastAsia="Times New Roman" w:hAnsi="Times New Roman" w:cs="Times New Roman"/>
                <w:sz w:val="24"/>
                <w:szCs w:val="24"/>
              </w:rPr>
              <w:t>Informal Mathematics 02001, General Math 02002, Particular Topics in Foundation Math 02003, Foundation Math-Independent Study 02047, Foundation Math-Other 02049, Pre-Algebra 02051, Algebra I 02052, Algebra I-Part 1 02053, Algebra I-Part 2 02054, Transition Algebra 02055, Algebra II 02056, Algebra III 02057, Particular Topics in Algebra 02058, Integrated Math- first year 02061, Integrated Math- second year 02062, Integrated Math-third year 02063, Integrated Math-fourth year 02064, Algebra-Other 02069, Informal Geometry 02071, Geometry 02072, Analytic Geometry 02073, Principles of Algebra and Geometry 02074, Particular Topics in Geometry 02075, Geometry-Other 02079, Number Theory 02101, Discrete Mathematics 02102, Trigonometry 02103, Math Analysis 02104, Trigonometry/Math Analysis 02105, Trigonometry/Algebra 02106, Trigonometry/Analytic Geometry, Math Analysis/Analytic Geometry, Elementary Functions 02109, Pre-Calculus 02110, Linear Algebra 02111, Linear Programming, Abstract Algebra 02113, Calculus 02121, Multivariate Calculus 02122, Differential Calculus 02123, AP Calculus AB 02124, AP Calculus BC 02125, Particular Topics in Calculus 02126, IB Mathematical Studies 02131, IB Mathematics 02132, IB Mathematics and Computing-SL 02133, IB Further Mathematics-SL 02134, Particular Topics in Analytic Mathematics, Analytic Mathematics-Other 02149, General Applied Math 02151, Occupationally Applied Math 02152, Technical Math 02153, Business Math 02154, Business Math with Algebra 02155, Computer Math with Algebra 02156, Consumer Math 02157, Probability and Statistics 02201, Inferential Probability and Statistics 02202, AP Statistics 02203, Particular Topics in Probability and Statistics 02204, Probability and Statistics-Independent Study 02207, Probability and Statistics-Other 02209, History of Math, Mathematics-Test Preparation 02993, Mathematics Proficiency Development 02994, Mathematics-Aide 02995, Mathematics-Independent Study 02997, Mathematics-Workplace Experience 02998, Mathematics-Other 02999</w:t>
            </w:r>
          </w:p>
        </w:tc>
      </w:tr>
    </w:tbl>
    <w:p w:rsidR="00C24D1F" w:rsidRDefault="00C24D1F"/>
    <w:sectPr w:rsidR="00C24D1F" w:rsidSect="00C24D1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1F"/>
    <w:rsid w:val="00C24D1F"/>
    <w:rsid w:val="00F5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07986">
      <w:bodyDiv w:val="1"/>
      <w:marLeft w:val="0"/>
      <w:marRight w:val="0"/>
      <w:marTop w:val="0"/>
      <w:marBottom w:val="0"/>
      <w:divBdr>
        <w:top w:val="none" w:sz="0" w:space="0" w:color="auto"/>
        <w:left w:val="none" w:sz="0" w:space="0" w:color="auto"/>
        <w:bottom w:val="none" w:sz="0" w:space="0" w:color="auto"/>
        <w:right w:val="none" w:sz="0" w:space="0" w:color="auto"/>
      </w:divBdr>
    </w:div>
    <w:div w:id="1215579580">
      <w:bodyDiv w:val="1"/>
      <w:marLeft w:val="0"/>
      <w:marRight w:val="0"/>
      <w:marTop w:val="0"/>
      <w:marBottom w:val="0"/>
      <w:divBdr>
        <w:top w:val="none" w:sz="0" w:space="0" w:color="auto"/>
        <w:left w:val="none" w:sz="0" w:space="0" w:color="auto"/>
        <w:bottom w:val="none" w:sz="0" w:space="0" w:color="auto"/>
        <w:right w:val="none" w:sz="0" w:space="0" w:color="auto"/>
      </w:divBdr>
    </w:div>
    <w:div w:id="1381827066">
      <w:bodyDiv w:val="1"/>
      <w:marLeft w:val="0"/>
      <w:marRight w:val="0"/>
      <w:marTop w:val="0"/>
      <w:marBottom w:val="0"/>
      <w:divBdr>
        <w:top w:val="none" w:sz="0" w:space="0" w:color="auto"/>
        <w:left w:val="none" w:sz="0" w:space="0" w:color="auto"/>
        <w:bottom w:val="none" w:sz="0" w:space="0" w:color="auto"/>
        <w:right w:val="none" w:sz="0" w:space="0" w:color="auto"/>
      </w:divBdr>
      <w:divsChild>
        <w:div w:id="1381632029">
          <w:marLeft w:val="0"/>
          <w:marRight w:val="0"/>
          <w:marTop w:val="0"/>
          <w:marBottom w:val="0"/>
          <w:divBdr>
            <w:top w:val="none" w:sz="0" w:space="0" w:color="auto"/>
            <w:left w:val="none" w:sz="0" w:space="0" w:color="auto"/>
            <w:bottom w:val="none" w:sz="0" w:space="0" w:color="auto"/>
            <w:right w:val="none" w:sz="0" w:space="0" w:color="auto"/>
          </w:divBdr>
          <w:divsChild>
            <w:div w:id="1923756628">
              <w:marLeft w:val="0"/>
              <w:marRight w:val="0"/>
              <w:marTop w:val="0"/>
              <w:marBottom w:val="0"/>
              <w:divBdr>
                <w:top w:val="none" w:sz="0" w:space="0" w:color="auto"/>
                <w:left w:val="none" w:sz="0" w:space="0" w:color="auto"/>
                <w:bottom w:val="none" w:sz="0" w:space="0" w:color="auto"/>
                <w:right w:val="none" w:sz="0" w:space="0" w:color="auto"/>
              </w:divBdr>
              <w:divsChild>
                <w:div w:id="2110349575">
                  <w:marLeft w:val="0"/>
                  <w:marRight w:val="0"/>
                  <w:marTop w:val="0"/>
                  <w:marBottom w:val="0"/>
                  <w:divBdr>
                    <w:top w:val="none" w:sz="0" w:space="0" w:color="auto"/>
                    <w:left w:val="none" w:sz="0" w:space="0" w:color="auto"/>
                    <w:bottom w:val="none" w:sz="0" w:space="0" w:color="auto"/>
                    <w:right w:val="none" w:sz="0" w:space="0" w:color="auto"/>
                  </w:divBdr>
                  <w:divsChild>
                    <w:div w:id="1935891426">
                      <w:marLeft w:val="0"/>
                      <w:marRight w:val="0"/>
                      <w:marTop w:val="0"/>
                      <w:marBottom w:val="0"/>
                      <w:divBdr>
                        <w:top w:val="none" w:sz="0" w:space="0" w:color="auto"/>
                        <w:left w:val="none" w:sz="0" w:space="0" w:color="auto"/>
                        <w:bottom w:val="none" w:sz="0" w:space="0" w:color="auto"/>
                        <w:right w:val="none" w:sz="0" w:space="0" w:color="auto"/>
                      </w:divBdr>
                      <w:divsChild>
                        <w:div w:id="1987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cp:lastPrinted>2016-06-01T19:46:00Z</cp:lastPrinted>
  <dcterms:created xsi:type="dcterms:W3CDTF">2016-06-01T19:41:00Z</dcterms:created>
  <dcterms:modified xsi:type="dcterms:W3CDTF">2016-06-01T19:52:00Z</dcterms:modified>
</cp:coreProperties>
</file>