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E61A7" w14:textId="6C2E5628" w:rsidR="00065821" w:rsidRPr="008A1EF1" w:rsidRDefault="00F617BC" w:rsidP="001D6B8C">
      <w:pPr>
        <w:jc w:val="center"/>
        <w:rPr>
          <w:b/>
          <w:u w:val="single"/>
        </w:rPr>
      </w:pPr>
      <w:r>
        <w:rPr>
          <w:b/>
          <w:u w:val="single"/>
        </w:rPr>
        <w:softHyphen/>
      </w:r>
      <w:r>
        <w:rPr>
          <w:b/>
          <w:u w:val="single"/>
        </w:rPr>
        <w:softHyphen/>
      </w:r>
      <w:r>
        <w:rPr>
          <w:b/>
          <w:u w:val="single"/>
        </w:rPr>
        <w:softHyphen/>
      </w:r>
      <w:r w:rsidR="00065821" w:rsidRPr="008A1EF1">
        <w:rPr>
          <w:b/>
          <w:u w:val="single"/>
        </w:rPr>
        <w:t xml:space="preserve">Ranking Criteria for </w:t>
      </w:r>
      <w:r w:rsidR="008A1EF1" w:rsidRPr="008A1EF1">
        <w:rPr>
          <w:b/>
          <w:u w:val="single"/>
        </w:rPr>
        <w:t>2015</w:t>
      </w:r>
      <w:r w:rsidR="00F33047" w:rsidRPr="008A1EF1">
        <w:rPr>
          <w:b/>
          <w:u w:val="single"/>
        </w:rPr>
        <w:t>-1</w:t>
      </w:r>
      <w:r w:rsidR="008A1EF1" w:rsidRPr="008A1EF1">
        <w:rPr>
          <w:b/>
          <w:u w:val="single"/>
        </w:rPr>
        <w:t>6</w:t>
      </w:r>
      <w:r w:rsidR="00065821" w:rsidRPr="008A1EF1">
        <w:rPr>
          <w:b/>
          <w:u w:val="single"/>
        </w:rPr>
        <w:t xml:space="preserve"> Sustainability Fellowship Applications</w:t>
      </w:r>
    </w:p>
    <w:p w14:paraId="25678F17" w14:textId="77777777" w:rsidR="008A1EF1" w:rsidRPr="008A1EF1" w:rsidRDefault="008A1EF1" w:rsidP="008A1EF1">
      <w:pPr>
        <w:jc w:val="center"/>
        <w:rPr>
          <w:color w:val="000000"/>
        </w:rPr>
      </w:pPr>
      <w:r w:rsidRPr="008A1EF1">
        <w:rPr>
          <w:color w:val="000000"/>
        </w:rPr>
        <w:t>$26,899 to award</w:t>
      </w:r>
    </w:p>
    <w:p w14:paraId="691E61A8" w14:textId="10E9359B" w:rsidR="00065821" w:rsidRPr="008A1EF1" w:rsidRDefault="00065821">
      <w:r w:rsidRPr="008A1EF1">
        <w:t>Please rank the first three criteria on a scale of 1 to 5:   1 = Marginal</w:t>
      </w:r>
      <w:r w:rsidRPr="008A1EF1">
        <w:tab/>
        <w:t>5 = Very much so</w:t>
      </w:r>
    </w:p>
    <w:p w14:paraId="691E61A9" w14:textId="77777777" w:rsidR="00065821" w:rsidRPr="008A1EF1" w:rsidRDefault="00065821">
      <w:r w:rsidRPr="008A1EF1">
        <w:t>Rank “Relation to campus operations” as either ‘Direct’ or ‘Indirect’. This is a lesser qualifier, but may be useful to distinguish between two similarly ranking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2272"/>
        <w:gridCol w:w="2194"/>
        <w:gridCol w:w="1764"/>
        <w:gridCol w:w="2090"/>
      </w:tblGrid>
      <w:tr w:rsidR="00065821" w:rsidRPr="008A1EF1" w14:paraId="691E61AF" w14:textId="77777777" w:rsidTr="00C02DD8">
        <w:tc>
          <w:tcPr>
            <w:tcW w:w="0" w:type="auto"/>
            <w:vAlign w:val="bottom"/>
          </w:tcPr>
          <w:p w14:paraId="691E61AA" w14:textId="77777777" w:rsidR="00065821" w:rsidRPr="008A1EF1" w:rsidRDefault="00065821" w:rsidP="00C02DD8">
            <w:pPr>
              <w:spacing w:after="0" w:line="240" w:lineRule="auto"/>
              <w:jc w:val="center"/>
              <w:rPr>
                <w:i/>
              </w:rPr>
            </w:pPr>
            <w:r w:rsidRPr="008A1EF1">
              <w:rPr>
                <w:i/>
              </w:rPr>
              <w:t>Applicant</w:t>
            </w:r>
          </w:p>
        </w:tc>
        <w:tc>
          <w:tcPr>
            <w:tcW w:w="0" w:type="auto"/>
            <w:vAlign w:val="bottom"/>
          </w:tcPr>
          <w:p w14:paraId="691E61AB" w14:textId="77777777" w:rsidR="00065821" w:rsidRPr="008A1EF1" w:rsidRDefault="00065821" w:rsidP="00C02DD8">
            <w:pPr>
              <w:spacing w:after="0" w:line="240" w:lineRule="auto"/>
              <w:jc w:val="center"/>
              <w:rPr>
                <w:i/>
              </w:rPr>
            </w:pPr>
            <w:r w:rsidRPr="008A1EF1">
              <w:rPr>
                <w:i/>
              </w:rPr>
              <w:t>Feasibility within stated timeframe</w:t>
            </w:r>
          </w:p>
        </w:tc>
        <w:tc>
          <w:tcPr>
            <w:tcW w:w="0" w:type="auto"/>
            <w:vAlign w:val="bottom"/>
          </w:tcPr>
          <w:p w14:paraId="691E61AC" w14:textId="77777777" w:rsidR="00065821" w:rsidRPr="008A1EF1" w:rsidRDefault="00065821" w:rsidP="00C02DD8">
            <w:pPr>
              <w:spacing w:after="0" w:line="240" w:lineRule="auto"/>
              <w:jc w:val="center"/>
              <w:rPr>
                <w:i/>
              </w:rPr>
            </w:pPr>
            <w:r w:rsidRPr="008A1EF1">
              <w:rPr>
                <w:i/>
              </w:rPr>
              <w:t>Applicability to sustainability</w:t>
            </w:r>
          </w:p>
        </w:tc>
        <w:tc>
          <w:tcPr>
            <w:tcW w:w="0" w:type="auto"/>
            <w:vAlign w:val="bottom"/>
          </w:tcPr>
          <w:p w14:paraId="691E61AD" w14:textId="77777777" w:rsidR="00065821" w:rsidRPr="008A1EF1" w:rsidRDefault="00065821" w:rsidP="00C02DD8">
            <w:pPr>
              <w:spacing w:after="0" w:line="240" w:lineRule="auto"/>
              <w:jc w:val="center"/>
              <w:rPr>
                <w:i/>
              </w:rPr>
            </w:pPr>
            <w:r w:rsidRPr="008A1EF1">
              <w:rPr>
                <w:i/>
              </w:rPr>
              <w:t>Quality of application</w:t>
            </w:r>
          </w:p>
        </w:tc>
        <w:tc>
          <w:tcPr>
            <w:tcW w:w="0" w:type="auto"/>
            <w:vAlign w:val="bottom"/>
          </w:tcPr>
          <w:p w14:paraId="691E61AE" w14:textId="77777777" w:rsidR="00065821" w:rsidRPr="008A1EF1" w:rsidRDefault="00065821" w:rsidP="00C02DD8">
            <w:pPr>
              <w:spacing w:after="0" w:line="240" w:lineRule="auto"/>
              <w:jc w:val="center"/>
              <w:rPr>
                <w:i/>
              </w:rPr>
            </w:pPr>
            <w:r w:rsidRPr="008A1EF1">
              <w:rPr>
                <w:i/>
              </w:rPr>
              <w:t>Relation to campus operations</w:t>
            </w:r>
          </w:p>
        </w:tc>
      </w:tr>
      <w:tr w:rsidR="00065821" w:rsidRPr="008A1EF1" w14:paraId="691E61B5" w14:textId="77777777" w:rsidTr="00C02DD8">
        <w:tc>
          <w:tcPr>
            <w:tcW w:w="0" w:type="auto"/>
          </w:tcPr>
          <w:p w14:paraId="691E61B0" w14:textId="48AC3803" w:rsidR="00065821" w:rsidRPr="008A1EF1" w:rsidRDefault="00F617BC" w:rsidP="00C02DD8">
            <w:pPr>
              <w:spacing w:after="0" w:line="240" w:lineRule="auto"/>
              <w:jc w:val="right"/>
            </w:pPr>
            <w:r>
              <w:t>Caughman</w:t>
            </w:r>
          </w:p>
        </w:tc>
        <w:tc>
          <w:tcPr>
            <w:tcW w:w="0" w:type="auto"/>
          </w:tcPr>
          <w:p w14:paraId="691E61B1" w14:textId="66D6F95F" w:rsidR="00065821" w:rsidRPr="008A1EF1" w:rsidRDefault="00F617BC" w:rsidP="00C02DD8">
            <w:pPr>
              <w:spacing w:after="0" w:line="240" w:lineRule="auto"/>
            </w:pPr>
            <w:r>
              <w:t>5</w:t>
            </w:r>
          </w:p>
        </w:tc>
        <w:tc>
          <w:tcPr>
            <w:tcW w:w="0" w:type="auto"/>
          </w:tcPr>
          <w:p w14:paraId="691E61B2" w14:textId="11EDB21F" w:rsidR="00065821" w:rsidRPr="008A1EF1" w:rsidRDefault="00F617BC" w:rsidP="00C02DD8">
            <w:pPr>
              <w:spacing w:after="0" w:line="240" w:lineRule="auto"/>
            </w:pPr>
            <w:r>
              <w:t>5</w:t>
            </w:r>
          </w:p>
        </w:tc>
        <w:tc>
          <w:tcPr>
            <w:tcW w:w="0" w:type="auto"/>
          </w:tcPr>
          <w:p w14:paraId="691E61B3" w14:textId="60298E7F" w:rsidR="00065821" w:rsidRPr="008A1EF1" w:rsidRDefault="00F617BC" w:rsidP="00C02DD8">
            <w:pPr>
              <w:spacing w:after="0" w:line="240" w:lineRule="auto"/>
            </w:pPr>
            <w:r>
              <w:t>5</w:t>
            </w:r>
          </w:p>
        </w:tc>
        <w:tc>
          <w:tcPr>
            <w:tcW w:w="0" w:type="auto"/>
          </w:tcPr>
          <w:p w14:paraId="691E61B4" w14:textId="354C87F0" w:rsidR="00065821" w:rsidRPr="008A1EF1" w:rsidRDefault="00F617BC" w:rsidP="00C02DD8">
            <w:pPr>
              <w:spacing w:after="0" w:line="240" w:lineRule="auto"/>
            </w:pPr>
            <w:r>
              <w:t>indirect</w:t>
            </w:r>
          </w:p>
        </w:tc>
      </w:tr>
      <w:tr w:rsidR="00065821" w:rsidRPr="008A1EF1" w14:paraId="691E61BC" w14:textId="77777777" w:rsidTr="00F33047">
        <w:tc>
          <w:tcPr>
            <w:tcW w:w="0" w:type="auto"/>
            <w:shd w:val="clear" w:color="auto" w:fill="FFFFFF" w:themeFill="background1"/>
          </w:tcPr>
          <w:p w14:paraId="691E61B7" w14:textId="5407C7F2" w:rsidR="00F33047" w:rsidRPr="008A1EF1" w:rsidRDefault="00F617BC" w:rsidP="00C02DD8">
            <w:pPr>
              <w:spacing w:after="0" w:line="240" w:lineRule="auto"/>
              <w:jc w:val="right"/>
            </w:pPr>
            <w:r>
              <w:t>Madrone</w:t>
            </w:r>
          </w:p>
        </w:tc>
        <w:tc>
          <w:tcPr>
            <w:tcW w:w="0" w:type="auto"/>
            <w:shd w:val="clear" w:color="auto" w:fill="FFFFFF" w:themeFill="background1"/>
          </w:tcPr>
          <w:p w14:paraId="691E61B8" w14:textId="498E6CE0" w:rsidR="00065821" w:rsidRPr="008A1EF1" w:rsidRDefault="00F617BC" w:rsidP="00C02DD8">
            <w:pPr>
              <w:spacing w:after="0" w:line="240" w:lineRule="auto"/>
            </w:pPr>
            <w:r>
              <w:t>5</w:t>
            </w:r>
          </w:p>
        </w:tc>
        <w:tc>
          <w:tcPr>
            <w:tcW w:w="0" w:type="auto"/>
            <w:shd w:val="clear" w:color="auto" w:fill="FFFFFF" w:themeFill="background1"/>
          </w:tcPr>
          <w:p w14:paraId="691E61B9" w14:textId="77F39EAB" w:rsidR="00065821" w:rsidRPr="008A1EF1" w:rsidRDefault="00F617BC" w:rsidP="00C02DD8">
            <w:pPr>
              <w:spacing w:after="0" w:line="240" w:lineRule="auto"/>
            </w:pPr>
            <w:r>
              <w:t>5</w:t>
            </w:r>
          </w:p>
        </w:tc>
        <w:tc>
          <w:tcPr>
            <w:tcW w:w="0" w:type="auto"/>
            <w:shd w:val="clear" w:color="auto" w:fill="FFFFFF" w:themeFill="background1"/>
          </w:tcPr>
          <w:p w14:paraId="691E61BA" w14:textId="581B0965" w:rsidR="00065821" w:rsidRPr="008A1EF1" w:rsidRDefault="00F617BC" w:rsidP="00C02DD8">
            <w:pPr>
              <w:spacing w:after="0" w:line="240" w:lineRule="auto"/>
            </w:pPr>
            <w:r>
              <w:t>5</w:t>
            </w:r>
          </w:p>
        </w:tc>
        <w:tc>
          <w:tcPr>
            <w:tcW w:w="0" w:type="auto"/>
            <w:shd w:val="clear" w:color="auto" w:fill="FFFFFF" w:themeFill="background1"/>
          </w:tcPr>
          <w:p w14:paraId="691E61BB" w14:textId="20444A86" w:rsidR="00065821" w:rsidRPr="008A1EF1" w:rsidRDefault="00F617BC" w:rsidP="00C02DD8">
            <w:pPr>
              <w:spacing w:after="0" w:line="240" w:lineRule="auto"/>
            </w:pPr>
            <w:r>
              <w:t>indirect</w:t>
            </w:r>
          </w:p>
        </w:tc>
      </w:tr>
      <w:tr w:rsidR="00065821" w:rsidRPr="008A1EF1" w14:paraId="691E61C2" w14:textId="77777777" w:rsidTr="00C02DD8">
        <w:tc>
          <w:tcPr>
            <w:tcW w:w="0" w:type="auto"/>
          </w:tcPr>
          <w:p w14:paraId="691E61BD" w14:textId="76EBC08E" w:rsidR="00065821" w:rsidRPr="008A1EF1" w:rsidRDefault="00F617BC" w:rsidP="00C02DD8">
            <w:pPr>
              <w:spacing w:after="0" w:line="240" w:lineRule="auto"/>
              <w:jc w:val="right"/>
            </w:pPr>
            <w:r>
              <w:t>Thurston</w:t>
            </w:r>
          </w:p>
        </w:tc>
        <w:tc>
          <w:tcPr>
            <w:tcW w:w="0" w:type="auto"/>
          </w:tcPr>
          <w:p w14:paraId="691E61BE" w14:textId="396ACF0D" w:rsidR="00065821" w:rsidRPr="008A1EF1" w:rsidRDefault="00020D50" w:rsidP="00C02DD8">
            <w:pPr>
              <w:spacing w:after="0" w:line="240" w:lineRule="auto"/>
            </w:pPr>
            <w:r>
              <w:t>3</w:t>
            </w:r>
            <w:r w:rsidR="00F617BC">
              <w:t xml:space="preserve"> (no </w:t>
            </w:r>
            <w:r>
              <w:t xml:space="preserve">specific </w:t>
            </w:r>
            <w:r w:rsidR="00F617BC">
              <w:t>timeline)</w:t>
            </w:r>
          </w:p>
        </w:tc>
        <w:tc>
          <w:tcPr>
            <w:tcW w:w="0" w:type="auto"/>
          </w:tcPr>
          <w:p w14:paraId="691E61BF" w14:textId="39925BAA" w:rsidR="00065821" w:rsidRPr="008A1EF1" w:rsidRDefault="00F617BC" w:rsidP="00C02DD8">
            <w:pPr>
              <w:spacing w:after="0" w:line="240" w:lineRule="auto"/>
            </w:pPr>
            <w:r>
              <w:t>5</w:t>
            </w:r>
          </w:p>
        </w:tc>
        <w:tc>
          <w:tcPr>
            <w:tcW w:w="0" w:type="auto"/>
          </w:tcPr>
          <w:p w14:paraId="691E61C0" w14:textId="3ED35AE1" w:rsidR="00065821" w:rsidRPr="008A1EF1" w:rsidRDefault="00F617BC" w:rsidP="00C02DD8">
            <w:pPr>
              <w:spacing w:after="0" w:line="240" w:lineRule="auto"/>
            </w:pPr>
            <w:r>
              <w:t>5</w:t>
            </w:r>
          </w:p>
        </w:tc>
        <w:tc>
          <w:tcPr>
            <w:tcW w:w="0" w:type="auto"/>
          </w:tcPr>
          <w:p w14:paraId="691E61C1" w14:textId="4D524693" w:rsidR="00065821" w:rsidRPr="008A1EF1" w:rsidRDefault="00F617BC" w:rsidP="00C02DD8">
            <w:pPr>
              <w:spacing w:after="0" w:line="240" w:lineRule="auto"/>
            </w:pPr>
            <w:r>
              <w:t>direct</w:t>
            </w:r>
          </w:p>
        </w:tc>
      </w:tr>
      <w:tr w:rsidR="00065821" w:rsidRPr="008A1EF1" w14:paraId="691E61C8" w14:textId="77777777" w:rsidTr="00C02DD8">
        <w:tc>
          <w:tcPr>
            <w:tcW w:w="0" w:type="auto"/>
          </w:tcPr>
          <w:p w14:paraId="691E61C3" w14:textId="447CB59A" w:rsidR="00065821" w:rsidRPr="008A1EF1" w:rsidRDefault="00F617BC" w:rsidP="00C02DD8">
            <w:pPr>
              <w:spacing w:after="0" w:line="240" w:lineRule="auto"/>
              <w:jc w:val="right"/>
            </w:pPr>
            <w:r>
              <w:t>Blair</w:t>
            </w:r>
          </w:p>
        </w:tc>
        <w:tc>
          <w:tcPr>
            <w:tcW w:w="0" w:type="auto"/>
          </w:tcPr>
          <w:p w14:paraId="691E61C4" w14:textId="42AE1586" w:rsidR="00065821" w:rsidRPr="008A1EF1" w:rsidRDefault="00020D50" w:rsidP="00C02DD8">
            <w:pPr>
              <w:spacing w:after="0" w:line="240" w:lineRule="auto"/>
            </w:pPr>
            <w:r>
              <w:t>2 (no timeline)</w:t>
            </w:r>
          </w:p>
        </w:tc>
        <w:tc>
          <w:tcPr>
            <w:tcW w:w="0" w:type="auto"/>
          </w:tcPr>
          <w:p w14:paraId="691E61C5" w14:textId="7F4FAD48" w:rsidR="00065821" w:rsidRPr="008A1EF1" w:rsidRDefault="00F617BC" w:rsidP="00C02DD8">
            <w:pPr>
              <w:spacing w:after="0" w:line="240" w:lineRule="auto"/>
            </w:pPr>
            <w:r>
              <w:t>5</w:t>
            </w:r>
          </w:p>
        </w:tc>
        <w:tc>
          <w:tcPr>
            <w:tcW w:w="0" w:type="auto"/>
          </w:tcPr>
          <w:p w14:paraId="691E61C6" w14:textId="72B5C75C" w:rsidR="00065821" w:rsidRPr="008A1EF1" w:rsidRDefault="00020D50" w:rsidP="00C02DD8">
            <w:pPr>
              <w:spacing w:after="0" w:line="240" w:lineRule="auto"/>
            </w:pPr>
            <w:r>
              <w:t>4</w:t>
            </w:r>
          </w:p>
        </w:tc>
        <w:tc>
          <w:tcPr>
            <w:tcW w:w="0" w:type="auto"/>
          </w:tcPr>
          <w:p w14:paraId="691E61C7" w14:textId="5195EDF4" w:rsidR="00FF6D7F" w:rsidRPr="008A1EF1" w:rsidRDefault="00020D50" w:rsidP="00C02DD8">
            <w:pPr>
              <w:spacing w:after="0" w:line="240" w:lineRule="auto"/>
            </w:pPr>
            <w:r>
              <w:t>indirect</w:t>
            </w:r>
          </w:p>
        </w:tc>
      </w:tr>
      <w:tr w:rsidR="00065821" w:rsidRPr="008A1EF1" w14:paraId="691E61CE" w14:textId="77777777" w:rsidTr="00C02DD8">
        <w:tc>
          <w:tcPr>
            <w:tcW w:w="0" w:type="auto"/>
          </w:tcPr>
          <w:p w14:paraId="691E61C9" w14:textId="77777777" w:rsidR="00065821" w:rsidRPr="008A1EF1" w:rsidRDefault="00065821" w:rsidP="00C02DD8">
            <w:pPr>
              <w:spacing w:after="0" w:line="240" w:lineRule="auto"/>
              <w:jc w:val="right"/>
            </w:pPr>
          </w:p>
        </w:tc>
        <w:tc>
          <w:tcPr>
            <w:tcW w:w="0" w:type="auto"/>
          </w:tcPr>
          <w:p w14:paraId="691E61CA" w14:textId="77777777" w:rsidR="00065821" w:rsidRPr="008A1EF1" w:rsidRDefault="00065821" w:rsidP="00C02DD8">
            <w:pPr>
              <w:spacing w:after="0" w:line="240" w:lineRule="auto"/>
            </w:pPr>
          </w:p>
        </w:tc>
        <w:tc>
          <w:tcPr>
            <w:tcW w:w="0" w:type="auto"/>
          </w:tcPr>
          <w:p w14:paraId="691E61CB" w14:textId="77777777" w:rsidR="00065821" w:rsidRPr="008A1EF1" w:rsidRDefault="00065821" w:rsidP="00C02DD8">
            <w:pPr>
              <w:spacing w:after="0" w:line="240" w:lineRule="auto"/>
            </w:pPr>
          </w:p>
        </w:tc>
        <w:tc>
          <w:tcPr>
            <w:tcW w:w="0" w:type="auto"/>
          </w:tcPr>
          <w:p w14:paraId="691E61CC" w14:textId="77777777" w:rsidR="00065821" w:rsidRPr="008A1EF1" w:rsidRDefault="00065821" w:rsidP="00C02DD8">
            <w:pPr>
              <w:spacing w:after="0" w:line="240" w:lineRule="auto"/>
            </w:pPr>
          </w:p>
        </w:tc>
        <w:tc>
          <w:tcPr>
            <w:tcW w:w="0" w:type="auto"/>
          </w:tcPr>
          <w:p w14:paraId="691E61CD" w14:textId="77777777" w:rsidR="00065821" w:rsidRPr="008A1EF1" w:rsidRDefault="00065821" w:rsidP="00C02DD8">
            <w:pPr>
              <w:spacing w:after="0" w:line="240" w:lineRule="auto"/>
            </w:pPr>
          </w:p>
        </w:tc>
      </w:tr>
    </w:tbl>
    <w:p w14:paraId="691E61CF" w14:textId="77777777" w:rsidR="00065821" w:rsidRPr="008A1EF1" w:rsidRDefault="00065821"/>
    <w:p w14:paraId="691E61D4" w14:textId="3774B63C" w:rsidR="00B3460E" w:rsidRDefault="00020D50">
      <w:r>
        <w:t>Gail’s ranking:</w:t>
      </w:r>
    </w:p>
    <w:p w14:paraId="39FCEF4A" w14:textId="249D602A" w:rsidR="00020D50" w:rsidRDefault="00020D50">
      <w:r>
        <w:t>Caughman- $7,000</w:t>
      </w:r>
    </w:p>
    <w:p w14:paraId="137FF929" w14:textId="447EF86F" w:rsidR="00020D50" w:rsidRDefault="00020D50">
      <w:r>
        <w:t>Madrone - $7,000</w:t>
      </w:r>
    </w:p>
    <w:p w14:paraId="503031B7" w14:textId="560D979C" w:rsidR="00020D50" w:rsidRDefault="00020D50">
      <w:r>
        <w:t>Thurston - $6,450</w:t>
      </w:r>
    </w:p>
    <w:p w14:paraId="0D07F81E" w14:textId="1ADDEAD3" w:rsidR="00020D50" w:rsidRDefault="00020D50">
      <w:r>
        <w:t>Blair - $6,449</w:t>
      </w:r>
    </w:p>
    <w:p w14:paraId="20ED3B99" w14:textId="77777777" w:rsidR="00CB2347" w:rsidRDefault="00CB2347"/>
    <w:p w14:paraId="48141707" w14:textId="1335B37C" w:rsidR="00CB2347" w:rsidRPr="00CB2347" w:rsidRDefault="00CB2347">
      <w:pPr>
        <w:rPr>
          <w:highlight w:val="yellow"/>
        </w:rPr>
      </w:pPr>
      <w:r w:rsidRPr="00CB2347">
        <w:rPr>
          <w:highlight w:val="yellow"/>
        </w:rPr>
        <w:t>Final decision:</w:t>
      </w:r>
    </w:p>
    <w:p w14:paraId="697A456A" w14:textId="77777777" w:rsidR="00CB2347" w:rsidRPr="00CB2347" w:rsidRDefault="00CB2347" w:rsidP="00CB2347">
      <w:pPr>
        <w:pStyle w:val="PlainText"/>
        <w:rPr>
          <w:highlight w:val="yellow"/>
        </w:rPr>
      </w:pPr>
      <w:r w:rsidRPr="00CB2347">
        <w:rPr>
          <w:highlight w:val="yellow"/>
        </w:rPr>
        <w:t>Carry over about $3k from this year's total, which would bring this year down to $24,000 and increase our $21k for 16/17 to $24k.  This keeps the award amount at an even number over 2 years, which will allow us to have some consistency (last year, we only had $10k, so this year was a HUGE jump). For awards, give the top 3 $6600 and Blair $4200.  More visually:</w:t>
      </w:r>
    </w:p>
    <w:p w14:paraId="12C5E8D9" w14:textId="77777777" w:rsidR="00CB2347" w:rsidRPr="00CB2347" w:rsidRDefault="00CB2347" w:rsidP="00CB2347">
      <w:pPr>
        <w:pStyle w:val="PlainText"/>
        <w:rPr>
          <w:highlight w:val="yellow"/>
        </w:rPr>
      </w:pPr>
    </w:p>
    <w:p w14:paraId="4D82918A" w14:textId="77777777" w:rsidR="00CB2347" w:rsidRPr="00CB2347" w:rsidRDefault="00CB2347" w:rsidP="00CB2347">
      <w:pPr>
        <w:pStyle w:val="PlainText"/>
        <w:rPr>
          <w:highlight w:val="yellow"/>
        </w:rPr>
      </w:pPr>
      <w:r w:rsidRPr="00CB2347">
        <w:rPr>
          <w:highlight w:val="yellow"/>
        </w:rPr>
        <w:t>1. $4200 to Blair and $6600 to others</w:t>
      </w:r>
    </w:p>
    <w:p w14:paraId="25164AA1" w14:textId="77777777" w:rsidR="00CB2347" w:rsidRPr="00CB2347" w:rsidRDefault="00CB2347" w:rsidP="00CB2347">
      <w:pPr>
        <w:pStyle w:val="PlainText"/>
        <w:rPr>
          <w:highlight w:val="yellow"/>
        </w:rPr>
      </w:pPr>
      <w:r w:rsidRPr="00CB2347">
        <w:rPr>
          <w:highlight w:val="yellow"/>
        </w:rPr>
        <w:t>2. $2,899 remaining from this year</w:t>
      </w:r>
    </w:p>
    <w:p w14:paraId="6339C0C0" w14:textId="77777777" w:rsidR="00CB2347" w:rsidRPr="00CB2347" w:rsidRDefault="00CB2347" w:rsidP="00CB2347">
      <w:pPr>
        <w:pStyle w:val="PlainText"/>
        <w:rPr>
          <w:highlight w:val="yellow"/>
        </w:rPr>
      </w:pPr>
      <w:r w:rsidRPr="00CB2347">
        <w:rPr>
          <w:highlight w:val="yellow"/>
        </w:rPr>
        <w:t>3. Total to award for 16/17 is $23,881</w:t>
      </w:r>
    </w:p>
    <w:p w14:paraId="39A483C8" w14:textId="77777777" w:rsidR="00CB2347" w:rsidRPr="00CB2347" w:rsidRDefault="00CB2347" w:rsidP="00CB2347">
      <w:pPr>
        <w:pStyle w:val="PlainText"/>
        <w:rPr>
          <w:highlight w:val="yellow"/>
        </w:rPr>
      </w:pPr>
    </w:p>
    <w:p w14:paraId="7760570F" w14:textId="77777777" w:rsidR="00CB2347" w:rsidRPr="00CB2347" w:rsidRDefault="00CB2347" w:rsidP="00CB2347">
      <w:pPr>
        <w:pStyle w:val="PlainText"/>
        <w:rPr>
          <w:highlight w:val="yellow"/>
        </w:rPr>
      </w:pPr>
      <w:r w:rsidRPr="00CB2347">
        <w:rPr>
          <w:highlight w:val="yellow"/>
        </w:rPr>
        <w:t xml:space="preserve">I could go with this idea or Maggie's option. </w:t>
      </w:r>
    </w:p>
    <w:p w14:paraId="45F8DE9F" w14:textId="77777777" w:rsidR="00CB2347" w:rsidRPr="00CB2347" w:rsidRDefault="00CB2347" w:rsidP="00CB2347">
      <w:pPr>
        <w:pStyle w:val="PlainText"/>
        <w:rPr>
          <w:highlight w:val="yellow"/>
        </w:rPr>
      </w:pPr>
    </w:p>
    <w:p w14:paraId="7781637C" w14:textId="77777777" w:rsidR="00CB2347" w:rsidRPr="00CB2347" w:rsidRDefault="00CB2347" w:rsidP="00CB2347">
      <w:pPr>
        <w:pStyle w:val="PlainText"/>
        <w:rPr>
          <w:highlight w:val="yellow"/>
        </w:rPr>
      </w:pPr>
      <w:proofErr w:type="gramStart"/>
      <w:r w:rsidRPr="00CB2347">
        <w:rPr>
          <w:highlight w:val="yellow"/>
        </w:rPr>
        <w:t>Thoughts?</w:t>
      </w:r>
      <w:proofErr w:type="gramEnd"/>
    </w:p>
    <w:p w14:paraId="39D27133" w14:textId="77777777" w:rsidR="00CB2347" w:rsidRPr="00CB2347" w:rsidRDefault="00CB2347" w:rsidP="00CB2347">
      <w:pPr>
        <w:pStyle w:val="PlainText"/>
        <w:rPr>
          <w:highlight w:val="yellow"/>
        </w:rPr>
      </w:pPr>
    </w:p>
    <w:p w14:paraId="594D939B" w14:textId="77777777" w:rsidR="00CB2347" w:rsidRDefault="00CB2347" w:rsidP="00CB2347">
      <w:pPr>
        <w:pStyle w:val="PlainText"/>
      </w:pPr>
      <w:r w:rsidRPr="00CB2347">
        <w:rPr>
          <w:highlight w:val="yellow"/>
        </w:rPr>
        <w:t xml:space="preserve">In addition, Randee and I briefly talked with Scott and one idea for our magic summer meeting is to have future fellowships cover student positions in Scott's office. The amount of money that we have next year covers approximately 3 student positions at 19 hours/week for 30 weeks (3 quarters) at $14/hour.  I believe this could work for </w:t>
      </w:r>
      <w:proofErr w:type="spellStart"/>
      <w:r w:rsidRPr="00CB2347">
        <w:rPr>
          <w:highlight w:val="yellow"/>
        </w:rPr>
        <w:t>MiT</w:t>
      </w:r>
      <w:proofErr w:type="spellEnd"/>
      <w:r w:rsidRPr="00CB2347">
        <w:rPr>
          <w:highlight w:val="yellow"/>
        </w:rPr>
        <w:t xml:space="preserve"> students, especially if some of the positions were fewer hours or for fewer quarters.</w:t>
      </w:r>
      <w:bookmarkStart w:id="0" w:name="_GoBack"/>
      <w:bookmarkEnd w:id="0"/>
    </w:p>
    <w:p w14:paraId="45C43518" w14:textId="77777777" w:rsidR="00CB2347" w:rsidRDefault="00CB2347"/>
    <w:p w14:paraId="627E1AFB" w14:textId="77777777" w:rsidR="00020D50" w:rsidRPr="008A1EF1" w:rsidRDefault="00020D50"/>
    <w:sectPr w:rsidR="00020D50" w:rsidRPr="008A1EF1" w:rsidSect="004B0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6422"/>
    <w:multiLevelType w:val="hybridMultilevel"/>
    <w:tmpl w:val="46626DD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1E3086"/>
    <w:multiLevelType w:val="multilevel"/>
    <w:tmpl w:val="7A1C0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B4F20C5"/>
    <w:multiLevelType w:val="hybridMultilevel"/>
    <w:tmpl w:val="B7CEF9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4E0592"/>
    <w:multiLevelType w:val="hybridMultilevel"/>
    <w:tmpl w:val="CBD0645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0C70BB1"/>
    <w:multiLevelType w:val="hybridMultilevel"/>
    <w:tmpl w:val="F806B95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285474"/>
    <w:multiLevelType w:val="hybridMultilevel"/>
    <w:tmpl w:val="A6A6CD6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36"/>
    <w:rsid w:val="00020D50"/>
    <w:rsid w:val="00065821"/>
    <w:rsid w:val="001721A3"/>
    <w:rsid w:val="001B10F7"/>
    <w:rsid w:val="001D6B8C"/>
    <w:rsid w:val="0039041A"/>
    <w:rsid w:val="003D4963"/>
    <w:rsid w:val="004606A5"/>
    <w:rsid w:val="0048528F"/>
    <w:rsid w:val="004B0AD2"/>
    <w:rsid w:val="00541419"/>
    <w:rsid w:val="0054182D"/>
    <w:rsid w:val="006B02AE"/>
    <w:rsid w:val="00702A2F"/>
    <w:rsid w:val="00726ABD"/>
    <w:rsid w:val="00750B70"/>
    <w:rsid w:val="007A0FFE"/>
    <w:rsid w:val="008056A3"/>
    <w:rsid w:val="00811E93"/>
    <w:rsid w:val="00827F96"/>
    <w:rsid w:val="008A1EF1"/>
    <w:rsid w:val="009220BB"/>
    <w:rsid w:val="00A5189F"/>
    <w:rsid w:val="00AD17FE"/>
    <w:rsid w:val="00B21574"/>
    <w:rsid w:val="00B3460E"/>
    <w:rsid w:val="00C02DD8"/>
    <w:rsid w:val="00CB2347"/>
    <w:rsid w:val="00CC723A"/>
    <w:rsid w:val="00D33936"/>
    <w:rsid w:val="00D51B4D"/>
    <w:rsid w:val="00DD7860"/>
    <w:rsid w:val="00F21F4F"/>
    <w:rsid w:val="00F273A3"/>
    <w:rsid w:val="00F33047"/>
    <w:rsid w:val="00F51051"/>
    <w:rsid w:val="00F617BC"/>
    <w:rsid w:val="00FF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E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D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18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189F"/>
    <w:pPr>
      <w:ind w:left="720"/>
      <w:contextualSpacing/>
    </w:pPr>
  </w:style>
  <w:style w:type="paragraph" w:styleId="PlainText">
    <w:name w:val="Plain Text"/>
    <w:basedOn w:val="Normal"/>
    <w:link w:val="PlainTextChar"/>
    <w:uiPriority w:val="99"/>
    <w:semiHidden/>
    <w:unhideWhenUsed/>
    <w:rsid w:val="00CB2347"/>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CB2347"/>
    <w:rPr>
      <w:rFonts w:ascii="Calibri" w:eastAsiaTheme="minorHAns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D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18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189F"/>
    <w:pPr>
      <w:ind w:left="720"/>
      <w:contextualSpacing/>
    </w:pPr>
  </w:style>
  <w:style w:type="paragraph" w:styleId="PlainText">
    <w:name w:val="Plain Text"/>
    <w:basedOn w:val="Normal"/>
    <w:link w:val="PlainTextChar"/>
    <w:uiPriority w:val="99"/>
    <w:semiHidden/>
    <w:unhideWhenUsed/>
    <w:rsid w:val="00CB2347"/>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CB2347"/>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88702">
      <w:marLeft w:val="0"/>
      <w:marRight w:val="0"/>
      <w:marTop w:val="0"/>
      <w:marBottom w:val="0"/>
      <w:divBdr>
        <w:top w:val="none" w:sz="0" w:space="0" w:color="auto"/>
        <w:left w:val="none" w:sz="0" w:space="0" w:color="auto"/>
        <w:bottom w:val="none" w:sz="0" w:space="0" w:color="auto"/>
        <w:right w:val="none" w:sz="0" w:space="0" w:color="auto"/>
      </w:divBdr>
    </w:div>
    <w:div w:id="1101488703">
      <w:marLeft w:val="0"/>
      <w:marRight w:val="0"/>
      <w:marTop w:val="0"/>
      <w:marBottom w:val="0"/>
      <w:divBdr>
        <w:top w:val="none" w:sz="0" w:space="0" w:color="auto"/>
        <w:left w:val="none" w:sz="0" w:space="0" w:color="auto"/>
        <w:bottom w:val="none" w:sz="0" w:space="0" w:color="auto"/>
        <w:right w:val="none" w:sz="0" w:space="0" w:color="auto"/>
      </w:divBdr>
    </w:div>
    <w:div w:id="15110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Ranking Criteria for 2013-14 Sustainability Fellowship Applications</vt:lpstr>
    </vt:vector>
  </TitlesOfParts>
  <Company>The Evergreen State College</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 Criteria for 2013-14 Sustainability Fellowship Applications</dc:title>
  <dc:creator>morgans</dc:creator>
  <cp:lastModifiedBy>Wootan, Gail</cp:lastModifiedBy>
  <cp:revision>4</cp:revision>
  <dcterms:created xsi:type="dcterms:W3CDTF">2016-02-26T19:58:00Z</dcterms:created>
  <dcterms:modified xsi:type="dcterms:W3CDTF">2016-03-11T23:47:00Z</dcterms:modified>
</cp:coreProperties>
</file>