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70" w:rsidRDefault="00032070">
      <w:pPr>
        <w:jc w:val="center"/>
        <w:rPr>
          <w:b/>
          <w:sz w:val="28"/>
          <w:szCs w:val="28"/>
        </w:rPr>
      </w:pPr>
      <w:r>
        <w:rPr>
          <w:b/>
          <w:sz w:val="28"/>
          <w:szCs w:val="28"/>
        </w:rPr>
        <w:t xml:space="preserve">Energy in the </w:t>
      </w:r>
      <w:smartTag w:uri="urn:schemas-microsoft-com:office:smarttags" w:element="place">
        <w:r>
          <w:rPr>
            <w:b/>
            <w:sz w:val="28"/>
            <w:szCs w:val="28"/>
          </w:rPr>
          <w:t>Pacific Northwest</w:t>
        </w:r>
      </w:smartTag>
      <w:r>
        <w:rPr>
          <w:b/>
          <w:sz w:val="28"/>
          <w:szCs w:val="28"/>
        </w:rPr>
        <w:t>:  A Model for the Future?</w:t>
      </w:r>
    </w:p>
    <w:p w:rsidR="00032070" w:rsidRDefault="00032070">
      <w:pPr>
        <w:jc w:val="center"/>
        <w:rPr>
          <w:b/>
        </w:rPr>
      </w:pPr>
      <w:r>
        <w:rPr>
          <w:b/>
        </w:rPr>
        <w:t>Winter 2011</w:t>
      </w:r>
    </w:p>
    <w:p w:rsidR="00032070" w:rsidRDefault="00032070">
      <w:pPr>
        <w:jc w:val="center"/>
        <w:rPr>
          <w:b/>
        </w:rPr>
      </w:pPr>
    </w:p>
    <w:p w:rsidR="00032070" w:rsidRDefault="00032070" w:rsidP="00793A64">
      <w:pPr>
        <w:jc w:val="center"/>
      </w:pPr>
      <w:r>
        <w:rPr>
          <w:b/>
        </w:rPr>
        <w:t xml:space="preserve">Faculty:  </w:t>
      </w:r>
      <w:r>
        <w:t>Kathleen Saul, M.A., M.E.S.</w:t>
      </w:r>
    </w:p>
    <w:p w:rsidR="00032070" w:rsidRDefault="00032070" w:rsidP="00793A64">
      <w:pPr>
        <w:jc w:val="center"/>
      </w:pPr>
      <w:r>
        <w:t>Office:  Lab II, 3271</w:t>
      </w:r>
    </w:p>
    <w:p w:rsidR="00032070" w:rsidRDefault="00032070" w:rsidP="00793A64">
      <w:pPr>
        <w:jc w:val="center"/>
      </w:pPr>
      <w:r>
        <w:t>Email:  saulk@evergreen.edu</w:t>
      </w:r>
    </w:p>
    <w:p w:rsidR="00032070" w:rsidRDefault="00032070" w:rsidP="00793A64">
      <w:pPr>
        <w:jc w:val="center"/>
      </w:pPr>
      <w:r>
        <w:t>Home:  425 – 836 – 0250</w:t>
      </w:r>
    </w:p>
    <w:p w:rsidR="00032070" w:rsidRDefault="00032070" w:rsidP="00793A64">
      <w:pPr>
        <w:jc w:val="center"/>
      </w:pPr>
      <w:r>
        <w:t>Cell:  425 – 503 -- 5866</w:t>
      </w:r>
    </w:p>
    <w:p w:rsidR="00032070" w:rsidRDefault="00032070"/>
    <w:p w:rsidR="00032070" w:rsidRDefault="00032070">
      <w:pPr>
        <w:rPr>
          <w:b/>
        </w:rPr>
      </w:pPr>
      <w:r>
        <w:rPr>
          <w:b/>
        </w:rPr>
        <w:t>Course Description:</w:t>
      </w:r>
    </w:p>
    <w:p w:rsidR="00032070" w:rsidRDefault="00032070"/>
    <w:p w:rsidR="00032070" w:rsidRDefault="00032070">
      <w:r>
        <w:t xml:space="preserve">In the past, the inexpensive hydroelectric power suggested the supply of electricity in the </w:t>
      </w:r>
      <w:smartTag w:uri="urn:schemas-microsoft-com:office:smarttags" w:element="place">
        <w:r>
          <w:t>Pacific Northwest</w:t>
        </w:r>
      </w:smartTag>
      <w:r>
        <w:t xml:space="preserve"> was seemingly limitless.  But decades of population growth and the development of “high tech,” energy-dependent industries up and down the West Coast have put a strain on that electric supply.  Concerns over salmon spawning grounds and greenhouse gas emissions have spurred interest in renewable energy sources and even new nuclear power plants.  At the same time, declines in oil production in the </w:t>
      </w:r>
      <w:smartTag w:uri="urn:schemas-microsoft-com:office:smarttags" w:element="country-region">
        <w:smartTag w:uri="urn:schemas-microsoft-com:office:smarttags" w:element="place">
          <w:r>
            <w:t>United States</w:t>
          </w:r>
        </w:smartTag>
      </w:smartTag>
      <w:r>
        <w:t>, increasing oil imports, and rising gas prices have increased awareness of the problems with an oil-based society and have focused attention on mass transit and the development of biofuels.  Evidence linking the burning of coal, natural gas, and other fossil fuels to global climate change also has generated interest in cleaner ways of powering the economy.</w:t>
      </w:r>
    </w:p>
    <w:p w:rsidR="00032070" w:rsidRDefault="00032070"/>
    <w:p w:rsidR="00032070" w:rsidRDefault="00032070">
      <w:r>
        <w:t xml:space="preserve">What might all these changes mean for the future of energy in the </w:t>
      </w:r>
      <w:smartTag w:uri="urn:schemas-microsoft-com:office:smarttags" w:element="place">
        <w:r>
          <w:t>Pacific Northwest</w:t>
        </w:r>
      </w:smartTag>
      <w:r>
        <w:t xml:space="preserve">?  Is the Northwest likely to be a source of models and inspiration for the </w:t>
      </w:r>
      <w:smartTag w:uri="urn:schemas-microsoft-com:office:smarttags" w:element="country-region">
        <w:smartTag w:uri="urn:schemas-microsoft-com:office:smarttags" w:element="place">
          <w:r>
            <w:t>US</w:t>
          </w:r>
        </w:smartTag>
      </w:smartTag>
      <w:r>
        <w:t xml:space="preserve"> and the rest of the world?  Will the Northwest find pathways to a new energy economy that will conserve human and environmental health for the indefinite future while supplying adequate energy services at a reasonable price?</w:t>
      </w:r>
    </w:p>
    <w:p w:rsidR="00032070" w:rsidRDefault="00032070"/>
    <w:p w:rsidR="00032070" w:rsidRDefault="00032070">
      <w:r>
        <w:t xml:space="preserve">This survey course will examine energy in the </w:t>
      </w:r>
      <w:smartTag w:uri="urn:schemas-microsoft-com:office:smarttags" w:element="place">
        <w:r>
          <w:t>Pacific Northwest</w:t>
        </w:r>
      </w:smartTag>
      <w:r>
        <w:t xml:space="preserve">, past, present, and possible future, through the eyes of professionals and practitioners in various energy fields.  After a brief introduction to the basics of energy—the vocabulary, the units of measurement, and how energy is produced and distributed—the class will explore the different energy options now being employed in the Northwest utilities as well as some still under investigation.  The class will mix weekly readings and seminars with guest lectures and field trips to help students better understand the exciting diversity of energy issues facing the </w:t>
      </w:r>
      <w:smartTag w:uri="urn:schemas-microsoft-com:office:smarttags" w:element="place">
        <w:r>
          <w:t>Pacific Northwest</w:t>
        </w:r>
      </w:smartTag>
      <w:r>
        <w:t>.</w:t>
      </w:r>
    </w:p>
    <w:p w:rsidR="00032070" w:rsidRDefault="00032070"/>
    <w:p w:rsidR="00032070" w:rsidRDefault="00032070">
      <w:pPr>
        <w:rPr>
          <w:b/>
        </w:rPr>
      </w:pPr>
      <w:r>
        <w:rPr>
          <w:b/>
        </w:rPr>
        <w:t>Expectations:</w:t>
      </w:r>
    </w:p>
    <w:p w:rsidR="00032070" w:rsidRDefault="00032070"/>
    <w:p w:rsidR="00032070" w:rsidRDefault="00032070">
      <w:r>
        <w:t xml:space="preserve">Energy in the </w:t>
      </w:r>
      <w:smartTag w:uri="urn:schemas-microsoft-com:office:smarttags" w:element="place">
        <w:r>
          <w:t>Pacific Northwest</w:t>
        </w:r>
      </w:smartTag>
      <w:r>
        <w:t xml:space="preserve"> will use guest lectures, class discussions, seminars, and special class activities to explore a variety of energy topics.  Students are expected to attend all class sessions, read the assigned books and articles, ask informed questions, participate in seminar discussions and class activities, and turn in assigned papers on time.  If a student cannot attend class or will be late with an assignment for any reason, he/she must contact the faculty in advance of the class session/due date.</w:t>
      </w:r>
    </w:p>
    <w:p w:rsidR="00032070" w:rsidRDefault="00032070">
      <w:pPr>
        <w:rPr>
          <w:b/>
        </w:rPr>
      </w:pPr>
      <w:r>
        <w:rPr>
          <w:b/>
        </w:rPr>
        <w:t>Assignments:</w:t>
      </w:r>
    </w:p>
    <w:p w:rsidR="00032070" w:rsidRDefault="00032070">
      <w:r>
        <w:t xml:space="preserve">1.  </w:t>
      </w:r>
      <w:smartTag w:uri="urn:schemas-microsoft-com:office:smarttags" w:element="City">
        <w:smartTag w:uri="urn:schemas-microsoft-com:office:smarttags" w:element="place">
          <w:r>
            <w:t>Readings</w:t>
          </w:r>
        </w:smartTag>
      </w:smartTag>
      <w:r>
        <w:t>.</w:t>
      </w:r>
    </w:p>
    <w:p w:rsidR="00032070" w:rsidRDefault="00032070">
      <w:r>
        <w:t>Required books:</w:t>
      </w:r>
    </w:p>
    <w:p w:rsidR="00032070" w:rsidRDefault="00032070">
      <w:r>
        <w:tab/>
      </w:r>
      <w:r>
        <w:rPr>
          <w:i/>
          <w:iCs/>
        </w:rPr>
        <w:t>Brilliant:  The Evolution of Artificial Light</w:t>
      </w:r>
      <w:r>
        <w:t>, by Jane Brox</w:t>
      </w:r>
    </w:p>
    <w:p w:rsidR="00032070" w:rsidRDefault="00032070">
      <w:r>
        <w:tab/>
      </w:r>
      <w:r>
        <w:rPr>
          <w:i/>
          <w:iCs/>
        </w:rPr>
        <w:t>Climate Hope:  On the Front Lines of the Fight Against C</w:t>
      </w:r>
      <w:r>
        <w:t>oal, by Ted Nace</w:t>
      </w:r>
    </w:p>
    <w:p w:rsidR="00032070" w:rsidRDefault="00032070">
      <w:r>
        <w:tab/>
      </w:r>
      <w:r>
        <w:rPr>
          <w:i/>
          <w:iCs/>
        </w:rPr>
        <w:t>Apollo’s Fire,</w:t>
      </w:r>
      <w:r>
        <w:t xml:space="preserve"> by Jay Inslee</w:t>
      </w:r>
    </w:p>
    <w:p w:rsidR="00032070" w:rsidRDefault="00032070"/>
    <w:p w:rsidR="00032070" w:rsidRDefault="00032070">
      <w:r>
        <w:t>Plus articles posted on the class Moodle site:</w:t>
      </w:r>
    </w:p>
    <w:p w:rsidR="00032070" w:rsidRDefault="00032070">
      <w:r>
        <w:tab/>
      </w:r>
      <w:hyperlink r:id="rId5" w:history="1">
        <w:r>
          <w:rPr>
            <w:rStyle w:val="Hyperlink"/>
          </w:rPr>
          <w:t>http://moodle.evergreen.edu</w:t>
        </w:r>
      </w:hyperlink>
    </w:p>
    <w:p w:rsidR="00032070" w:rsidRDefault="00032070">
      <w:r>
        <w:t>or</w:t>
      </w:r>
      <w:r>
        <w:tab/>
      </w:r>
      <w:hyperlink r:id="rId6" w:history="1">
        <w:r>
          <w:rPr>
            <w:rStyle w:val="Hyperlink"/>
          </w:rPr>
          <w:t>http://my.evergreen.edu</w:t>
        </w:r>
      </w:hyperlink>
    </w:p>
    <w:p w:rsidR="00032070" w:rsidRDefault="00032070">
      <w:r>
        <w:t xml:space="preserve">and click on Energy in the </w:t>
      </w:r>
      <w:smartTag w:uri="urn:schemas-microsoft-com:office:smarttags" w:element="place">
        <w:r>
          <w:t>Pacific Northwest</w:t>
        </w:r>
      </w:smartTag>
      <w:r>
        <w:t>.</w:t>
      </w:r>
    </w:p>
    <w:p w:rsidR="00032070" w:rsidRDefault="00032070"/>
    <w:p w:rsidR="00032070" w:rsidRDefault="00032070">
      <w:r>
        <w:t xml:space="preserve">2.   Each week, each student will need to bring one energy-related article to share with the class.  The article need not specifically address the </w:t>
      </w:r>
      <w:smartTag w:uri="urn:schemas-microsoft-com:office:smarttags" w:element="place">
        <w:r>
          <w:t>Pacific Northwest</w:t>
        </w:r>
      </w:smartTag>
      <w:r>
        <w:t>, but the student should be prepared to explain the implications of the information it contains for energy or energy policy in this region.</w:t>
      </w:r>
    </w:p>
    <w:p w:rsidR="00032070" w:rsidRDefault="00032070"/>
    <w:p w:rsidR="00032070" w:rsidRDefault="00032070">
      <w:r>
        <w:t xml:space="preserve">3.   For each of the three required books, students will write a 3 – 5 page paper addressing one of the questions that will be announced in class and posted on the Moodle site the week before the due date.  Papers will be due via email ( .doc format is a must!) before 5 p.m. the Friday after the seminar for that book.  </w:t>
      </w:r>
    </w:p>
    <w:p w:rsidR="00032070" w:rsidRDefault="00032070">
      <w:r>
        <w:tab/>
        <w:t>These papers must have a title (not the question itself!), an introduction (to catch the reader’s attention), thesis statement or paragraph (what will this paper cover?), body (the meat of the paper), and conclusion (often revisiting the introduction in some manner).  The author’s name must appear on each page and the pages must be numbered in the lower right corner.</w:t>
      </w:r>
    </w:p>
    <w:p w:rsidR="00032070" w:rsidRDefault="00032070"/>
    <w:p w:rsidR="00032070" w:rsidRDefault="00032070">
      <w:r>
        <w:t xml:space="preserve">4.   Field Trips (to be scheduled):  SolarWorld (outside </w:t>
      </w:r>
      <w:smartTag w:uri="urn:schemas-microsoft-com:office:smarttags" w:element="City">
        <w:r>
          <w:t>Portland</w:t>
        </w:r>
      </w:smartTag>
      <w:r>
        <w:t xml:space="preserve">, </w:t>
      </w:r>
      <w:smartTag w:uri="urn:schemas-microsoft-com:office:smarttags" w:element="State">
        <w:r>
          <w:t>OR</w:t>
        </w:r>
      </w:smartTag>
      <w:r>
        <w:t>) and Grays Harbor Paper (</w:t>
      </w:r>
      <w:smartTag w:uri="urn:schemas-microsoft-com:office:smarttags" w:element="place">
        <w:smartTag w:uri="urn:schemas-microsoft-com:office:smarttags" w:element="City">
          <w:r>
            <w:t>Hoquiam</w:t>
          </w:r>
        </w:smartTag>
        <w:r>
          <w:t xml:space="preserve">, </w:t>
        </w:r>
        <w:smartTag w:uri="urn:schemas-microsoft-com:office:smarttags" w:element="State">
          <w:r>
            <w:t>WA</w:t>
          </w:r>
        </w:smartTag>
      </w:smartTag>
      <w:r>
        <w:t>).</w:t>
      </w:r>
    </w:p>
    <w:p w:rsidR="00032070" w:rsidRDefault="00032070"/>
    <w:p w:rsidR="00032070" w:rsidRDefault="00032070">
      <w:r>
        <w:t>5.   Class project:  “Your Electrical Footprint.”</w:t>
      </w:r>
    </w:p>
    <w:p w:rsidR="00032070" w:rsidRDefault="00032070"/>
    <w:p w:rsidR="00032070" w:rsidRDefault="00032070"/>
    <w:p w:rsidR="00032070" w:rsidRDefault="00032070"/>
    <w:p w:rsidR="00032070" w:rsidRDefault="00032070">
      <w:pPr>
        <w:rPr>
          <w:b/>
        </w:rPr>
      </w:pPr>
      <w:r>
        <w:rPr>
          <w:b/>
        </w:rPr>
        <w:t>Program Schedule:</w:t>
      </w:r>
    </w:p>
    <w:p w:rsidR="00032070" w:rsidRDefault="00032070">
      <w:pPr>
        <w:rPr>
          <w:b/>
        </w:rPr>
      </w:pPr>
    </w:p>
    <w:tbl>
      <w:tblPr>
        <w:tblW w:w="11157" w:type="dxa"/>
        <w:tblInd w:w="-1152" w:type="dxa"/>
        <w:tblLook w:val="0000"/>
      </w:tblPr>
      <w:tblGrid>
        <w:gridCol w:w="739"/>
        <w:gridCol w:w="840"/>
        <w:gridCol w:w="2007"/>
        <w:gridCol w:w="2336"/>
        <w:gridCol w:w="2700"/>
        <w:gridCol w:w="2535"/>
      </w:tblGrid>
      <w:tr w:rsidR="00032070">
        <w:trPr>
          <w:trHeight w:val="510"/>
        </w:trPr>
        <w:tc>
          <w:tcPr>
            <w:tcW w:w="739" w:type="dxa"/>
            <w:tcBorders>
              <w:top w:val="nil"/>
              <w:left w:val="nil"/>
              <w:bottom w:val="nil"/>
              <w:right w:val="nil"/>
            </w:tcBorders>
            <w:noWrap/>
            <w:vAlign w:val="bottom"/>
          </w:tcPr>
          <w:p w:rsidR="00032070" w:rsidRDefault="00032070">
            <w:pPr>
              <w:jc w:val="center"/>
              <w:rPr>
                <w:rFonts w:ascii="Arial" w:hAnsi="Arial" w:cs="Arial"/>
                <w:b/>
                <w:bCs/>
                <w:sz w:val="20"/>
                <w:szCs w:val="20"/>
              </w:rPr>
            </w:pPr>
            <w:r>
              <w:rPr>
                <w:rFonts w:ascii="Arial" w:hAnsi="Arial" w:cs="Arial"/>
                <w:b/>
                <w:bCs/>
                <w:sz w:val="20"/>
                <w:szCs w:val="20"/>
              </w:rPr>
              <w:t>Week</w:t>
            </w:r>
          </w:p>
        </w:tc>
        <w:tc>
          <w:tcPr>
            <w:tcW w:w="840" w:type="dxa"/>
            <w:tcBorders>
              <w:top w:val="nil"/>
              <w:left w:val="nil"/>
              <w:bottom w:val="nil"/>
              <w:right w:val="nil"/>
            </w:tcBorders>
            <w:noWrap/>
            <w:vAlign w:val="bottom"/>
          </w:tcPr>
          <w:p w:rsidR="00032070" w:rsidRDefault="00032070">
            <w:pPr>
              <w:jc w:val="center"/>
              <w:rPr>
                <w:rFonts w:ascii="Arial" w:hAnsi="Arial" w:cs="Arial"/>
                <w:b/>
                <w:bCs/>
                <w:sz w:val="20"/>
                <w:szCs w:val="20"/>
              </w:rPr>
            </w:pPr>
            <w:r>
              <w:rPr>
                <w:rFonts w:ascii="Arial" w:hAnsi="Arial" w:cs="Arial"/>
                <w:b/>
                <w:bCs/>
                <w:sz w:val="20"/>
                <w:szCs w:val="20"/>
              </w:rPr>
              <w:t>Date</w:t>
            </w:r>
          </w:p>
        </w:tc>
        <w:tc>
          <w:tcPr>
            <w:tcW w:w="2007" w:type="dxa"/>
            <w:tcBorders>
              <w:top w:val="nil"/>
              <w:left w:val="nil"/>
              <w:bottom w:val="nil"/>
              <w:right w:val="nil"/>
            </w:tcBorders>
            <w:vAlign w:val="bottom"/>
          </w:tcPr>
          <w:p w:rsidR="00032070" w:rsidRDefault="00032070">
            <w:pPr>
              <w:jc w:val="center"/>
              <w:rPr>
                <w:rFonts w:ascii="Arial" w:hAnsi="Arial" w:cs="Arial"/>
                <w:b/>
                <w:bCs/>
                <w:sz w:val="20"/>
                <w:szCs w:val="20"/>
              </w:rPr>
            </w:pPr>
            <w:r>
              <w:rPr>
                <w:rFonts w:ascii="Arial" w:hAnsi="Arial" w:cs="Arial"/>
                <w:b/>
                <w:bCs/>
                <w:sz w:val="20"/>
                <w:szCs w:val="20"/>
              </w:rPr>
              <w:t>Topic</w:t>
            </w:r>
          </w:p>
        </w:tc>
        <w:tc>
          <w:tcPr>
            <w:tcW w:w="2336" w:type="dxa"/>
            <w:tcBorders>
              <w:top w:val="nil"/>
              <w:left w:val="nil"/>
              <w:bottom w:val="nil"/>
              <w:right w:val="nil"/>
            </w:tcBorders>
            <w:vAlign w:val="bottom"/>
          </w:tcPr>
          <w:p w:rsidR="00032070" w:rsidRDefault="00032070">
            <w:pPr>
              <w:jc w:val="center"/>
              <w:rPr>
                <w:rFonts w:ascii="Arial" w:hAnsi="Arial" w:cs="Arial"/>
                <w:b/>
                <w:bCs/>
                <w:sz w:val="20"/>
                <w:szCs w:val="20"/>
              </w:rPr>
            </w:pPr>
            <w:r>
              <w:rPr>
                <w:rFonts w:ascii="Arial" w:hAnsi="Arial" w:cs="Arial"/>
                <w:b/>
                <w:bCs/>
                <w:sz w:val="20"/>
                <w:szCs w:val="20"/>
              </w:rPr>
              <w:t>Guest Speaker</w:t>
            </w:r>
          </w:p>
        </w:tc>
        <w:tc>
          <w:tcPr>
            <w:tcW w:w="2700" w:type="dxa"/>
            <w:tcBorders>
              <w:top w:val="nil"/>
              <w:left w:val="nil"/>
              <w:bottom w:val="nil"/>
              <w:right w:val="nil"/>
            </w:tcBorders>
            <w:noWrap/>
            <w:vAlign w:val="bottom"/>
          </w:tcPr>
          <w:p w:rsidR="00032070" w:rsidRDefault="00032070">
            <w:pPr>
              <w:jc w:val="center"/>
              <w:rPr>
                <w:rFonts w:ascii="Arial" w:hAnsi="Arial" w:cs="Arial"/>
                <w:b/>
                <w:bCs/>
                <w:sz w:val="20"/>
                <w:szCs w:val="20"/>
              </w:rPr>
            </w:pPr>
            <w:r>
              <w:rPr>
                <w:rFonts w:ascii="Arial" w:hAnsi="Arial" w:cs="Arial"/>
                <w:b/>
                <w:bCs/>
                <w:sz w:val="20"/>
                <w:szCs w:val="20"/>
              </w:rPr>
              <w:t>Activity</w:t>
            </w:r>
          </w:p>
        </w:tc>
        <w:tc>
          <w:tcPr>
            <w:tcW w:w="2535" w:type="dxa"/>
            <w:tcBorders>
              <w:top w:val="nil"/>
              <w:left w:val="nil"/>
              <w:bottom w:val="nil"/>
              <w:right w:val="nil"/>
            </w:tcBorders>
            <w:vAlign w:val="bottom"/>
          </w:tcPr>
          <w:p w:rsidR="00032070" w:rsidRDefault="00032070">
            <w:pPr>
              <w:jc w:val="center"/>
              <w:rPr>
                <w:rFonts w:ascii="Arial" w:hAnsi="Arial" w:cs="Arial"/>
                <w:b/>
                <w:bCs/>
                <w:sz w:val="20"/>
                <w:szCs w:val="20"/>
              </w:rPr>
            </w:pPr>
            <w:r>
              <w:rPr>
                <w:rFonts w:ascii="Arial" w:hAnsi="Arial" w:cs="Arial"/>
                <w:b/>
                <w:bCs/>
                <w:sz w:val="20"/>
                <w:szCs w:val="20"/>
              </w:rPr>
              <w:t>Assigned Reading/Seminar Topic</w:t>
            </w: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1</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Jan 5</w:t>
            </w:r>
          </w:p>
        </w:tc>
        <w:tc>
          <w:tcPr>
            <w:tcW w:w="2007"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Introduction to Energy</w:t>
            </w: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Playing with Food</w:t>
            </w: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Jan 8 &amp; 9</w:t>
            </w:r>
          </w:p>
        </w:tc>
        <w:tc>
          <w:tcPr>
            <w:tcW w:w="2007"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Coal in WA</w:t>
            </w: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 xml:space="preserve">Environmental Priorities and Sierra Club Training “Coal Free WA,” </w:t>
            </w:r>
            <w:smartTag w:uri="urn:schemas-microsoft-com:office:smarttags" w:element="place">
              <w:smartTag w:uri="urn:schemas-microsoft-com:office:smarttags" w:element="City">
                <w:r>
                  <w:rPr>
                    <w:rFonts w:ascii="Arial" w:hAnsi="Arial" w:cs="Arial"/>
                    <w:sz w:val="20"/>
                    <w:szCs w:val="20"/>
                  </w:rPr>
                  <w:t>Seattle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smartTag>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510"/>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2</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Jan 12</w:t>
            </w:r>
          </w:p>
        </w:tc>
        <w:tc>
          <w:tcPr>
            <w:tcW w:w="2007"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The Grid</w:t>
            </w: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Video:  Enron, The Smartest Guys in the Room</w:t>
            </w:r>
          </w:p>
        </w:tc>
        <w:tc>
          <w:tcPr>
            <w:tcW w:w="2535" w:type="dxa"/>
            <w:tcBorders>
              <w:top w:val="nil"/>
              <w:left w:val="nil"/>
              <w:bottom w:val="nil"/>
              <w:right w:val="nil"/>
            </w:tcBorders>
            <w:vAlign w:val="bottom"/>
          </w:tcPr>
          <w:p w:rsidR="00032070" w:rsidRPr="004E4202" w:rsidRDefault="00032070">
            <w:pPr>
              <w:pStyle w:val="Heading1"/>
              <w:rPr>
                <w:i w:val="0"/>
              </w:rPr>
            </w:pPr>
            <w:r w:rsidRPr="004E4202">
              <w:rPr>
                <w:i w:val="0"/>
              </w:rPr>
              <w:t>See Moodle</w:t>
            </w: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3</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Jan 19</w:t>
            </w: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pStyle w:val="Heading1"/>
            </w:pPr>
            <w:r>
              <w:t>Brilliant</w:t>
            </w: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Paper due Fri Jan 21, 5 pm</w:t>
            </w:r>
          </w:p>
        </w:tc>
      </w:tr>
      <w:tr w:rsidR="00032070">
        <w:trPr>
          <w:trHeight w:val="297"/>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4</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Jan 26</w:t>
            </w:r>
          </w:p>
        </w:tc>
        <w:tc>
          <w:tcPr>
            <w:tcW w:w="2007"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Siting Renewable Energy Projects</w:t>
            </w:r>
          </w:p>
        </w:tc>
        <w:tc>
          <w:tcPr>
            <w:tcW w:w="2336"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Travis Nelson,</w:t>
            </w:r>
          </w:p>
          <w:p w:rsidR="00032070" w:rsidRDefault="00032070">
            <w:pPr>
              <w:rPr>
                <w:rFonts w:ascii="Arial" w:hAnsi="Arial" w:cs="Arial"/>
                <w:sz w:val="20"/>
                <w:szCs w:val="20"/>
              </w:rPr>
            </w:pPr>
            <w:r>
              <w:rPr>
                <w:rFonts w:ascii="Arial" w:hAnsi="Arial" w:cs="Arial"/>
                <w:sz w:val="20"/>
                <w:szCs w:val="20"/>
              </w:rPr>
              <w:t>Department of Fish and Wildlife;</w:t>
            </w:r>
          </w:p>
          <w:p w:rsidR="00032070" w:rsidRDefault="00032070">
            <w:pPr>
              <w:rPr>
                <w:rFonts w:ascii="Arial" w:hAnsi="Arial" w:cs="Arial"/>
                <w:sz w:val="20"/>
                <w:szCs w:val="20"/>
              </w:rPr>
            </w:pPr>
            <w:r>
              <w:rPr>
                <w:rFonts w:ascii="Arial" w:hAnsi="Arial" w:cs="Arial"/>
                <w:sz w:val="20"/>
                <w:szCs w:val="20"/>
              </w:rPr>
              <w:t>Nature Conservancy (?)</w:t>
            </w: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198"/>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423"/>
        </w:trPr>
        <w:tc>
          <w:tcPr>
            <w:tcW w:w="739" w:type="dxa"/>
            <w:tcBorders>
              <w:top w:val="nil"/>
              <w:left w:val="nil"/>
              <w:bottom w:val="nil"/>
              <w:right w:val="nil"/>
            </w:tcBorders>
            <w:noWrap/>
            <w:vAlign w:val="center"/>
          </w:tcPr>
          <w:p w:rsidR="00032070" w:rsidRDefault="00032070">
            <w:pPr>
              <w:jc w:val="center"/>
              <w:rPr>
                <w:rFonts w:ascii="Arial" w:hAnsi="Arial" w:cs="Arial"/>
                <w:sz w:val="20"/>
                <w:szCs w:val="20"/>
              </w:rPr>
            </w:pPr>
            <w:r>
              <w:rPr>
                <w:rFonts w:ascii="Arial" w:hAnsi="Arial" w:cs="Arial"/>
                <w:sz w:val="20"/>
                <w:szCs w:val="20"/>
              </w:rPr>
              <w:t>5</w:t>
            </w:r>
          </w:p>
        </w:tc>
        <w:tc>
          <w:tcPr>
            <w:tcW w:w="840" w:type="dxa"/>
            <w:tcBorders>
              <w:top w:val="nil"/>
              <w:left w:val="nil"/>
              <w:bottom w:val="nil"/>
              <w:right w:val="nil"/>
            </w:tcBorders>
            <w:noWrap/>
            <w:vAlign w:val="center"/>
          </w:tcPr>
          <w:p w:rsidR="00032070" w:rsidRDefault="00032070">
            <w:pPr>
              <w:rPr>
                <w:rFonts w:ascii="Arial" w:hAnsi="Arial" w:cs="Arial"/>
                <w:sz w:val="20"/>
                <w:szCs w:val="20"/>
              </w:rPr>
            </w:pPr>
            <w:r>
              <w:rPr>
                <w:rFonts w:ascii="Arial" w:hAnsi="Arial" w:cs="Arial"/>
                <w:sz w:val="20"/>
                <w:szCs w:val="20"/>
              </w:rPr>
              <w:t>Feb 2</w:t>
            </w:r>
          </w:p>
        </w:tc>
        <w:tc>
          <w:tcPr>
            <w:tcW w:w="2007" w:type="dxa"/>
            <w:tcBorders>
              <w:top w:val="nil"/>
              <w:left w:val="nil"/>
              <w:bottom w:val="nil"/>
              <w:right w:val="nil"/>
            </w:tcBorders>
            <w:vAlign w:val="center"/>
          </w:tcPr>
          <w:p w:rsidR="00032070" w:rsidRDefault="00032070">
            <w:pPr>
              <w:rPr>
                <w:rFonts w:ascii="Arial" w:hAnsi="Arial" w:cs="Arial"/>
                <w:sz w:val="20"/>
                <w:szCs w:val="20"/>
              </w:rPr>
            </w:pPr>
          </w:p>
        </w:tc>
        <w:tc>
          <w:tcPr>
            <w:tcW w:w="2336" w:type="dxa"/>
            <w:tcBorders>
              <w:top w:val="nil"/>
              <w:left w:val="nil"/>
              <w:bottom w:val="nil"/>
              <w:right w:val="nil"/>
            </w:tcBorders>
            <w:vAlign w:val="center"/>
          </w:tcPr>
          <w:p w:rsidR="00032070" w:rsidRDefault="00032070">
            <w:pPr>
              <w:rPr>
                <w:rFonts w:ascii="Arial" w:hAnsi="Arial" w:cs="Arial"/>
                <w:sz w:val="20"/>
                <w:szCs w:val="20"/>
              </w:rPr>
            </w:pPr>
          </w:p>
        </w:tc>
        <w:tc>
          <w:tcPr>
            <w:tcW w:w="2700" w:type="dxa"/>
            <w:tcBorders>
              <w:top w:val="nil"/>
              <w:left w:val="nil"/>
              <w:bottom w:val="nil"/>
              <w:right w:val="nil"/>
            </w:tcBorders>
            <w:vAlign w:val="bottom"/>
          </w:tcPr>
          <w:p w:rsidR="00032070" w:rsidRDefault="00032070">
            <w:pPr>
              <w:jc w:val="center"/>
              <w:rPr>
                <w:rFonts w:ascii="Arial" w:hAnsi="Arial" w:cs="Arial"/>
                <w:sz w:val="20"/>
                <w:szCs w:val="20"/>
              </w:rPr>
            </w:pPr>
          </w:p>
        </w:tc>
        <w:tc>
          <w:tcPr>
            <w:tcW w:w="2535" w:type="dxa"/>
            <w:tcBorders>
              <w:top w:val="nil"/>
              <w:left w:val="nil"/>
              <w:bottom w:val="nil"/>
              <w:right w:val="nil"/>
            </w:tcBorders>
            <w:vAlign w:val="center"/>
          </w:tcPr>
          <w:p w:rsidR="00032070" w:rsidRDefault="00032070">
            <w:pPr>
              <w:rPr>
                <w:rFonts w:ascii="Arial" w:hAnsi="Arial" w:cs="Arial"/>
                <w:sz w:val="20"/>
                <w:szCs w:val="20"/>
              </w:rPr>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6</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Feb 9</w:t>
            </w:r>
          </w:p>
        </w:tc>
        <w:tc>
          <w:tcPr>
            <w:tcW w:w="2007"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More on Coal</w:t>
            </w:r>
          </w:p>
        </w:tc>
        <w:tc>
          <w:tcPr>
            <w:tcW w:w="2336"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James Holbery,</w:t>
            </w:r>
          </w:p>
          <w:p w:rsidR="00032070" w:rsidRDefault="00032070">
            <w:pPr>
              <w:rPr>
                <w:rFonts w:ascii="Arial" w:hAnsi="Arial" w:cs="Arial"/>
                <w:sz w:val="20"/>
                <w:szCs w:val="20"/>
              </w:rPr>
            </w:pPr>
            <w:r>
              <w:rPr>
                <w:rFonts w:ascii="Arial" w:hAnsi="Arial" w:cs="Arial"/>
                <w:sz w:val="20"/>
                <w:szCs w:val="20"/>
              </w:rPr>
              <w:t>Grid Mobility</w:t>
            </w: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pStyle w:val="Heading1"/>
            </w:pPr>
            <w:r>
              <w:t>Climate Hope</w:t>
            </w: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Pr="004E4202" w:rsidRDefault="00032070">
            <w:pPr>
              <w:rPr>
                <w:rFonts w:ascii="Arial" w:hAnsi="Arial" w:cs="Arial"/>
                <w:sz w:val="20"/>
                <w:szCs w:val="20"/>
              </w:rPr>
            </w:pPr>
            <w:r w:rsidRPr="004E4202">
              <w:rPr>
                <w:rFonts w:ascii="Arial" w:hAnsi="Arial" w:cs="Arial"/>
                <w:sz w:val="20"/>
                <w:szCs w:val="20"/>
              </w:rPr>
              <w:t>Paper due Fri Feb 11 by 5 p.m.</w:t>
            </w: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Feb 15</w:t>
            </w: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 xml:space="preserve">Environmental Lobby Day, </w:t>
            </w:r>
            <w:smartTag w:uri="urn:schemas-microsoft-com:office:smarttags" w:element="City">
              <w:smartTag w:uri="urn:schemas-microsoft-com:office:smarttags" w:element="place">
                <w:r>
                  <w:rPr>
                    <w:rFonts w:ascii="Arial" w:hAnsi="Arial" w:cs="Arial"/>
                    <w:sz w:val="20"/>
                    <w:szCs w:val="20"/>
                  </w:rPr>
                  <w:t>Olympia</w:t>
                </w:r>
              </w:smartTag>
            </w:smartTag>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7</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Feb 16</w:t>
            </w: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88"/>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8</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Feb 23</w:t>
            </w:r>
          </w:p>
        </w:tc>
        <w:tc>
          <w:tcPr>
            <w:tcW w:w="2007"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Tidal/Wave Energy</w:t>
            </w:r>
          </w:p>
        </w:tc>
        <w:tc>
          <w:tcPr>
            <w:tcW w:w="2336"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Jason Busch,</w:t>
            </w:r>
          </w:p>
          <w:p w:rsidR="00032070" w:rsidRDefault="00032070">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Oregon</w:t>
                </w:r>
              </w:smartTag>
            </w:smartTag>
            <w:r>
              <w:rPr>
                <w:rFonts w:ascii="Arial" w:hAnsi="Arial" w:cs="Arial"/>
                <w:sz w:val="20"/>
                <w:szCs w:val="20"/>
              </w:rPr>
              <w:t xml:space="preserve"> Wave Energy Trust</w:t>
            </w: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88"/>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9</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Mar 2</w:t>
            </w:r>
          </w:p>
        </w:tc>
        <w:tc>
          <w:tcPr>
            <w:tcW w:w="2007" w:type="dxa"/>
            <w:tcBorders>
              <w:top w:val="nil"/>
              <w:left w:val="nil"/>
              <w:bottom w:val="nil"/>
              <w:right w:val="nil"/>
            </w:tcBorders>
            <w:vAlign w:val="bottom"/>
          </w:tcPr>
          <w:p w:rsidR="00032070" w:rsidRDefault="00032070">
            <w:pP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Washington</w:t>
                </w:r>
              </w:smartTag>
            </w:smartTag>
            <w:r>
              <w:rPr>
                <w:rFonts w:ascii="Arial" w:hAnsi="Arial" w:cs="Arial"/>
                <w:sz w:val="20"/>
                <w:szCs w:val="20"/>
              </w:rPr>
              <w:t>’s Energy Plan</w:t>
            </w: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pStyle w:val="Heading1"/>
            </w:pPr>
            <w:r>
              <w:t>Apollo’s Fire</w:t>
            </w: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Paper due by 5 p.m. Fri Mar 4</w:t>
            </w:r>
          </w:p>
        </w:tc>
      </w:tr>
      <w:tr w:rsidR="00032070">
        <w:trPr>
          <w:trHeight w:val="288"/>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10</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Mar 9</w:t>
            </w: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pStyle w:val="Heading1"/>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r>
              <w:rPr>
                <w:rFonts w:ascii="Arial" w:hAnsi="Arial" w:cs="Arial"/>
                <w:sz w:val="20"/>
                <w:szCs w:val="20"/>
              </w:rPr>
              <w:t>11</w:t>
            </w:r>
          </w:p>
        </w:tc>
        <w:tc>
          <w:tcPr>
            <w:tcW w:w="840" w:type="dxa"/>
            <w:tcBorders>
              <w:top w:val="nil"/>
              <w:left w:val="nil"/>
              <w:bottom w:val="nil"/>
              <w:right w:val="nil"/>
            </w:tcBorders>
            <w:noWrap/>
            <w:vAlign w:val="bottom"/>
          </w:tcPr>
          <w:p w:rsidR="00032070" w:rsidRDefault="00032070">
            <w:pPr>
              <w:rPr>
                <w:rFonts w:ascii="Arial" w:hAnsi="Arial" w:cs="Arial"/>
                <w:sz w:val="20"/>
                <w:szCs w:val="20"/>
              </w:rPr>
            </w:pPr>
            <w:r>
              <w:rPr>
                <w:rFonts w:ascii="Arial" w:hAnsi="Arial" w:cs="Arial"/>
                <w:sz w:val="20"/>
                <w:szCs w:val="20"/>
              </w:rPr>
              <w:t>Mar 16</w:t>
            </w: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r>
              <w:rPr>
                <w:rFonts w:ascii="Arial" w:hAnsi="Arial" w:cs="Arial"/>
                <w:sz w:val="20"/>
                <w:szCs w:val="20"/>
              </w:rPr>
              <w:t>Evaluations</w:t>
            </w: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pStyle w:val="Heading1"/>
            </w:pPr>
          </w:p>
        </w:tc>
      </w:tr>
      <w:tr w:rsidR="00032070">
        <w:trPr>
          <w:trHeight w:val="255"/>
        </w:trPr>
        <w:tc>
          <w:tcPr>
            <w:tcW w:w="739" w:type="dxa"/>
            <w:tcBorders>
              <w:top w:val="nil"/>
              <w:left w:val="nil"/>
              <w:bottom w:val="nil"/>
              <w:right w:val="nil"/>
            </w:tcBorders>
            <w:noWrap/>
            <w:vAlign w:val="bottom"/>
          </w:tcPr>
          <w:p w:rsidR="00032070" w:rsidRDefault="00032070">
            <w:pPr>
              <w:jc w:val="center"/>
              <w:rPr>
                <w:rFonts w:ascii="Arial" w:hAnsi="Arial" w:cs="Arial"/>
                <w:sz w:val="20"/>
                <w:szCs w:val="20"/>
              </w:rPr>
            </w:pPr>
          </w:p>
        </w:tc>
        <w:tc>
          <w:tcPr>
            <w:tcW w:w="840" w:type="dxa"/>
            <w:tcBorders>
              <w:top w:val="nil"/>
              <w:left w:val="nil"/>
              <w:bottom w:val="nil"/>
              <w:right w:val="nil"/>
            </w:tcBorders>
            <w:noWrap/>
            <w:vAlign w:val="bottom"/>
          </w:tcPr>
          <w:p w:rsidR="00032070" w:rsidRDefault="00032070">
            <w:pPr>
              <w:rPr>
                <w:rFonts w:ascii="Arial" w:hAnsi="Arial" w:cs="Arial"/>
                <w:sz w:val="20"/>
                <w:szCs w:val="20"/>
              </w:rPr>
            </w:pPr>
          </w:p>
        </w:tc>
        <w:tc>
          <w:tcPr>
            <w:tcW w:w="2007" w:type="dxa"/>
            <w:tcBorders>
              <w:top w:val="nil"/>
              <w:left w:val="nil"/>
              <w:bottom w:val="nil"/>
              <w:right w:val="nil"/>
            </w:tcBorders>
            <w:vAlign w:val="bottom"/>
          </w:tcPr>
          <w:p w:rsidR="00032070" w:rsidRDefault="00032070">
            <w:pPr>
              <w:rPr>
                <w:rFonts w:ascii="Arial" w:hAnsi="Arial" w:cs="Arial"/>
                <w:sz w:val="20"/>
                <w:szCs w:val="20"/>
              </w:rPr>
            </w:pPr>
          </w:p>
        </w:tc>
        <w:tc>
          <w:tcPr>
            <w:tcW w:w="2336" w:type="dxa"/>
            <w:tcBorders>
              <w:top w:val="nil"/>
              <w:left w:val="nil"/>
              <w:bottom w:val="nil"/>
              <w:right w:val="nil"/>
            </w:tcBorders>
            <w:vAlign w:val="bottom"/>
          </w:tcPr>
          <w:p w:rsidR="00032070" w:rsidRDefault="00032070">
            <w:pPr>
              <w:rPr>
                <w:rFonts w:ascii="Arial" w:hAnsi="Arial" w:cs="Arial"/>
                <w:sz w:val="20"/>
                <w:szCs w:val="20"/>
              </w:rPr>
            </w:pPr>
          </w:p>
        </w:tc>
        <w:tc>
          <w:tcPr>
            <w:tcW w:w="2700" w:type="dxa"/>
            <w:tcBorders>
              <w:top w:val="nil"/>
              <w:left w:val="nil"/>
              <w:bottom w:val="nil"/>
              <w:right w:val="nil"/>
            </w:tcBorders>
            <w:noWrap/>
            <w:vAlign w:val="bottom"/>
          </w:tcPr>
          <w:p w:rsidR="00032070" w:rsidRDefault="00032070">
            <w:pPr>
              <w:rPr>
                <w:rFonts w:ascii="Arial" w:hAnsi="Arial" w:cs="Arial"/>
                <w:sz w:val="20"/>
                <w:szCs w:val="20"/>
              </w:rPr>
            </w:pPr>
          </w:p>
        </w:tc>
        <w:tc>
          <w:tcPr>
            <w:tcW w:w="2535" w:type="dxa"/>
            <w:tcBorders>
              <w:top w:val="nil"/>
              <w:left w:val="nil"/>
              <w:bottom w:val="nil"/>
              <w:right w:val="nil"/>
            </w:tcBorders>
            <w:vAlign w:val="bottom"/>
          </w:tcPr>
          <w:p w:rsidR="00032070" w:rsidRDefault="00032070">
            <w:pPr>
              <w:rPr>
                <w:rFonts w:ascii="Arial" w:hAnsi="Arial" w:cs="Arial"/>
                <w:sz w:val="20"/>
                <w:szCs w:val="20"/>
              </w:rPr>
            </w:pPr>
          </w:p>
        </w:tc>
      </w:tr>
    </w:tbl>
    <w:p w:rsidR="00032070" w:rsidRDefault="00032070">
      <w:pPr>
        <w:ind w:left="-720"/>
        <w:rPr>
          <w:b/>
        </w:rPr>
      </w:pPr>
    </w:p>
    <w:p w:rsidR="00032070" w:rsidRDefault="00032070">
      <w:pPr>
        <w:rPr>
          <w:b/>
        </w:rPr>
      </w:pPr>
    </w:p>
    <w:p w:rsidR="00032070" w:rsidRDefault="00032070">
      <w:pPr>
        <w:rPr>
          <w:b/>
        </w:rPr>
      </w:pPr>
    </w:p>
    <w:p w:rsidR="00032070" w:rsidRDefault="00032070"/>
    <w:sectPr w:rsidR="00032070" w:rsidSect="00F843E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A26AD"/>
    <w:multiLevelType w:val="hybridMultilevel"/>
    <w:tmpl w:val="BE5444C0"/>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DBB08D2"/>
    <w:multiLevelType w:val="hybridMultilevel"/>
    <w:tmpl w:val="378A306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202"/>
    <w:rsid w:val="00032070"/>
    <w:rsid w:val="003C3D3F"/>
    <w:rsid w:val="004E4202"/>
    <w:rsid w:val="00793A64"/>
    <w:rsid w:val="0092396F"/>
    <w:rsid w:val="009B0533"/>
    <w:rsid w:val="00AC6139"/>
    <w:rsid w:val="00E31E58"/>
    <w:rsid w:val="00F843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E4"/>
    <w:rPr>
      <w:sz w:val="24"/>
      <w:szCs w:val="24"/>
    </w:rPr>
  </w:style>
  <w:style w:type="paragraph" w:styleId="Heading1">
    <w:name w:val="heading 1"/>
    <w:basedOn w:val="Normal"/>
    <w:next w:val="Normal"/>
    <w:link w:val="Heading1Char"/>
    <w:uiPriority w:val="99"/>
    <w:qFormat/>
    <w:rsid w:val="00F843E4"/>
    <w:pPr>
      <w:keepNext/>
      <w:outlineLvl w:val="0"/>
    </w:pPr>
    <w:rPr>
      <w:rFonts w:ascii="Arial" w:hAnsi="Arial" w:cs="Arial"/>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98E"/>
    <w:rPr>
      <w:rFonts w:asciiTheme="majorHAnsi" w:eastAsiaTheme="majorEastAsia" w:hAnsiTheme="majorHAnsi" w:cstheme="majorBidi"/>
      <w:b/>
      <w:bCs/>
      <w:kern w:val="32"/>
      <w:sz w:val="32"/>
      <w:szCs w:val="32"/>
    </w:rPr>
  </w:style>
  <w:style w:type="character" w:styleId="FollowedHyperlink">
    <w:name w:val="FollowedHyperlink"/>
    <w:basedOn w:val="DefaultParagraphFont"/>
    <w:uiPriority w:val="99"/>
    <w:rsid w:val="00F843E4"/>
    <w:rPr>
      <w:rFonts w:cs="Times New Roman"/>
      <w:color w:val="800080"/>
      <w:u w:val="single"/>
    </w:rPr>
  </w:style>
  <w:style w:type="character" w:styleId="Hyperlink">
    <w:name w:val="Hyperlink"/>
    <w:basedOn w:val="DefaultParagraphFont"/>
    <w:uiPriority w:val="99"/>
    <w:rsid w:val="00F843E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evergreen.edu" TargetMode="External"/><Relationship Id="rId5" Type="http://schemas.openxmlformats.org/officeDocument/2006/relationships/hyperlink" Target="http://moodle.evergre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777</Words>
  <Characters>4433</Characters>
  <Application>Microsoft Office Outlook</Application>
  <DocSecurity>0</DocSecurity>
  <Lines>0</Lines>
  <Paragraphs>0</Paragraphs>
  <ScaleCrop>false</ScaleCrop>
  <Company>The Boeing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in the Pacific Northwest:  A Model for the Future</dc:title>
  <dc:subject/>
  <dc:creator>Greg Saul</dc:creator>
  <cp:keywords/>
  <dc:description/>
  <cp:lastModifiedBy>wootang</cp:lastModifiedBy>
  <cp:revision>2</cp:revision>
  <cp:lastPrinted>2011-01-06T00:39:00Z</cp:lastPrinted>
  <dcterms:created xsi:type="dcterms:W3CDTF">2011-04-27T16:31:00Z</dcterms:created>
  <dcterms:modified xsi:type="dcterms:W3CDTF">2011-04-27T16:31:00Z</dcterms:modified>
</cp:coreProperties>
</file>