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E0" w:rsidRPr="00DE625E" w:rsidRDefault="005056E0" w:rsidP="005056E0">
      <w:pPr>
        <w:rPr>
          <w:rFonts w:ascii="Arial" w:eastAsia="Times New Roman" w:hAnsi="Arial" w:cs="Arial"/>
          <w:b/>
          <w:color w:val="000000"/>
        </w:rPr>
      </w:pPr>
      <w:r w:rsidRPr="00DE625E">
        <w:rPr>
          <w:rFonts w:ascii="Arial" w:eastAsia="Times New Roman" w:hAnsi="Arial" w:cs="Arial"/>
          <w:b/>
          <w:color w:val="000000"/>
        </w:rPr>
        <w:t>MES Academic Budget Request Narrative</w:t>
      </w:r>
    </w:p>
    <w:p w:rsidR="005056E0" w:rsidRPr="00DE625E" w:rsidRDefault="005056E0" w:rsidP="005056E0">
      <w:pPr>
        <w:rPr>
          <w:rFonts w:ascii="Arial" w:eastAsia="Times New Roman" w:hAnsi="Arial" w:cs="Arial"/>
          <w:b/>
          <w:color w:val="000000"/>
        </w:rPr>
      </w:pPr>
      <w:r w:rsidRPr="00DE625E">
        <w:rPr>
          <w:rFonts w:ascii="Arial" w:eastAsia="Times New Roman" w:hAnsi="Arial" w:cs="Arial"/>
          <w:b/>
          <w:color w:val="000000"/>
        </w:rPr>
        <w:t>June 7, 2012</w:t>
      </w:r>
    </w:p>
    <w:p w:rsidR="005056E0" w:rsidRPr="00DE625E" w:rsidRDefault="005056E0" w:rsidP="005056E0">
      <w:pPr>
        <w:rPr>
          <w:rFonts w:ascii="Arial" w:eastAsia="Times New Roman" w:hAnsi="Arial" w:cs="Arial"/>
          <w:color w:val="000000"/>
        </w:rPr>
      </w:pPr>
    </w:p>
    <w:p w:rsidR="004044C2" w:rsidRDefault="005056E0" w:rsidP="005056E0">
      <w:pPr>
        <w:rPr>
          <w:rFonts w:ascii="Arial" w:eastAsia="Times New Roman" w:hAnsi="Arial" w:cs="Arial"/>
          <w:color w:val="000000"/>
        </w:rPr>
      </w:pPr>
      <w:r w:rsidRPr="00A907DF">
        <w:rPr>
          <w:rFonts w:ascii="Arial" w:eastAsia="Times New Roman" w:hAnsi="Arial" w:cs="Arial"/>
          <w:color w:val="000000"/>
        </w:rPr>
        <w:t>Based on the 2010-2011 Revenue Cost Analysis Summary created by Walter</w:t>
      </w:r>
      <w:r w:rsidRPr="00DE625E">
        <w:rPr>
          <w:rFonts w:ascii="Arial" w:eastAsia="Times New Roman" w:hAnsi="Arial" w:cs="Arial"/>
          <w:color w:val="000000"/>
        </w:rPr>
        <w:t xml:space="preserve"> </w:t>
      </w:r>
      <w:proofErr w:type="spellStart"/>
      <w:r w:rsidRPr="00DE625E">
        <w:rPr>
          <w:rFonts w:ascii="Arial" w:eastAsia="Times New Roman" w:hAnsi="Arial" w:cs="Arial"/>
          <w:color w:val="000000"/>
        </w:rPr>
        <w:t>Nieimic</w:t>
      </w:r>
      <w:proofErr w:type="spellEnd"/>
      <w:r w:rsidRPr="00A907DF">
        <w:rPr>
          <w:rFonts w:ascii="Arial" w:eastAsia="Times New Roman" w:hAnsi="Arial" w:cs="Arial"/>
          <w:color w:val="000000"/>
        </w:rPr>
        <w:t xml:space="preserve">, I have put together a similar summary for 2011-12 and 2012-13. </w:t>
      </w:r>
      <w:r w:rsidRPr="00DE625E">
        <w:rPr>
          <w:rFonts w:ascii="Arial" w:eastAsia="Times New Roman" w:hAnsi="Arial" w:cs="Arial"/>
          <w:color w:val="000000"/>
        </w:rPr>
        <w:t xml:space="preserve"> </w:t>
      </w:r>
      <w:r w:rsidRPr="00A907DF">
        <w:rPr>
          <w:rFonts w:ascii="Arial" w:eastAsia="Times New Roman" w:hAnsi="Arial" w:cs="Arial"/>
          <w:color w:val="000000"/>
        </w:rPr>
        <w:t>I also corrected the original summary, as it subtracted waivers from our operating fee revenue that are not ours (they were all undergrad waivers)</w:t>
      </w:r>
      <w:r w:rsidRPr="00DE625E">
        <w:rPr>
          <w:rFonts w:ascii="Arial" w:eastAsia="Times New Roman" w:hAnsi="Arial" w:cs="Arial"/>
          <w:color w:val="000000"/>
        </w:rPr>
        <w:t xml:space="preserve"> and included a .25 FTE faculty that does not exist</w:t>
      </w:r>
      <w:r w:rsidRPr="00A907DF">
        <w:rPr>
          <w:rFonts w:ascii="Arial" w:eastAsia="Times New Roman" w:hAnsi="Arial" w:cs="Arial"/>
          <w:color w:val="000000"/>
        </w:rPr>
        <w:t>.</w:t>
      </w:r>
      <w:r w:rsidRPr="00DE625E">
        <w:rPr>
          <w:rFonts w:ascii="Arial" w:eastAsia="Times New Roman" w:hAnsi="Arial" w:cs="Arial"/>
          <w:color w:val="000000"/>
        </w:rPr>
        <w:t xml:space="preserve"> </w:t>
      </w:r>
      <w:r w:rsidRPr="00A907DF">
        <w:rPr>
          <w:rFonts w:ascii="Arial" w:eastAsia="Times New Roman" w:hAnsi="Arial" w:cs="Arial"/>
          <w:color w:val="000000"/>
        </w:rPr>
        <w:t>With the correction, you can see that for 11-12, MES ran at less than 1% loss in revenue (as opposed to</w:t>
      </w:r>
      <w:r w:rsidRPr="00DE625E">
        <w:rPr>
          <w:rFonts w:ascii="Arial" w:eastAsia="Times New Roman" w:hAnsi="Arial" w:cs="Arial"/>
          <w:color w:val="000000"/>
        </w:rPr>
        <w:t xml:space="preserve"> the</w:t>
      </w:r>
      <w:r w:rsidRPr="00A907DF">
        <w:rPr>
          <w:rFonts w:ascii="Arial" w:eastAsia="Times New Roman" w:hAnsi="Arial" w:cs="Arial"/>
          <w:color w:val="000000"/>
        </w:rPr>
        <w:t xml:space="preserve"> 12% originally assumed).  </w:t>
      </w:r>
      <w:r w:rsidRPr="00DE625E">
        <w:rPr>
          <w:rFonts w:ascii="Arial" w:eastAsia="Times New Roman" w:hAnsi="Arial" w:cs="Arial"/>
          <w:color w:val="000000"/>
        </w:rPr>
        <w:t xml:space="preserve"> </w:t>
      </w:r>
      <w:r w:rsidRPr="00A907DF">
        <w:rPr>
          <w:rFonts w:ascii="Arial" w:eastAsia="Times New Roman" w:hAnsi="Arial" w:cs="Arial"/>
          <w:color w:val="000000"/>
        </w:rPr>
        <w:t>Because of an increase in enrollment for both 11-12 and 12-13, and a re</w:t>
      </w:r>
      <w:r w:rsidRPr="00DE625E">
        <w:rPr>
          <w:rFonts w:ascii="Arial" w:eastAsia="Times New Roman" w:hAnsi="Arial" w:cs="Arial"/>
          <w:color w:val="000000"/>
        </w:rPr>
        <w:t>duction in costs due to having two</w:t>
      </w:r>
      <w:r w:rsidRPr="00A907DF">
        <w:rPr>
          <w:rFonts w:ascii="Arial" w:eastAsia="Times New Roman" w:hAnsi="Arial" w:cs="Arial"/>
          <w:color w:val="000000"/>
        </w:rPr>
        <w:t xml:space="preserve"> temporary </w:t>
      </w:r>
      <w:proofErr w:type="gramStart"/>
      <w:r w:rsidRPr="00A907DF">
        <w:rPr>
          <w:rFonts w:ascii="Arial" w:eastAsia="Times New Roman" w:hAnsi="Arial" w:cs="Arial"/>
          <w:color w:val="000000"/>
        </w:rPr>
        <w:t>faculty</w:t>
      </w:r>
      <w:proofErr w:type="gramEnd"/>
      <w:r w:rsidRPr="00A907DF">
        <w:rPr>
          <w:rFonts w:ascii="Arial" w:eastAsia="Times New Roman" w:hAnsi="Arial" w:cs="Arial"/>
          <w:color w:val="000000"/>
        </w:rPr>
        <w:t xml:space="preserve"> </w:t>
      </w:r>
      <w:r w:rsidRPr="00DE625E">
        <w:rPr>
          <w:rFonts w:ascii="Arial" w:eastAsia="Times New Roman" w:hAnsi="Arial" w:cs="Arial"/>
          <w:color w:val="000000"/>
        </w:rPr>
        <w:t>instead of only one</w:t>
      </w:r>
      <w:r w:rsidRPr="00A907DF">
        <w:rPr>
          <w:rFonts w:ascii="Arial" w:eastAsia="Times New Roman" w:hAnsi="Arial" w:cs="Arial"/>
          <w:color w:val="000000"/>
        </w:rPr>
        <w:t>, our profit goes up considerably.  For this summary, I assumed our waivers would be the same for 2012-13 as they were for 11-12, that we would have more nonresident tuition revenue, and that our costs would include org codes 25101 and 25102 at their base budgets.  Faculty salaries had to be estimated.  As nonresident tuition increases and faculty costs decrease, our profit doubles between 11-12 and 12-13. Because of this clear increase, MES has put together</w:t>
      </w:r>
      <w:r w:rsidRPr="00DE625E">
        <w:rPr>
          <w:rFonts w:ascii="Arial" w:eastAsia="Times New Roman" w:hAnsi="Arial" w:cs="Arial"/>
          <w:color w:val="000000"/>
        </w:rPr>
        <w:t xml:space="preserve"> two budget requests</w:t>
      </w:r>
      <w:r w:rsidRPr="00A907DF">
        <w:rPr>
          <w:rFonts w:ascii="Arial" w:eastAsia="Times New Roman" w:hAnsi="Arial" w:cs="Arial"/>
          <w:color w:val="000000"/>
        </w:rPr>
        <w:t xml:space="preserve"> </w:t>
      </w:r>
      <w:r w:rsidRPr="00DE625E">
        <w:rPr>
          <w:rFonts w:ascii="Arial" w:eastAsia="Times New Roman" w:hAnsi="Arial" w:cs="Arial"/>
          <w:color w:val="000000"/>
        </w:rPr>
        <w:t xml:space="preserve">(MES academic and MES support) </w:t>
      </w:r>
      <w:r w:rsidRPr="00A907DF">
        <w:rPr>
          <w:rFonts w:ascii="Arial" w:eastAsia="Times New Roman" w:hAnsi="Arial" w:cs="Arial"/>
          <w:color w:val="000000"/>
        </w:rPr>
        <w:t>that will enable us to run the</w:t>
      </w:r>
      <w:r w:rsidRPr="00DE625E">
        <w:rPr>
          <w:rFonts w:ascii="Arial" w:eastAsia="Times New Roman" w:hAnsi="Arial" w:cs="Arial"/>
          <w:color w:val="000000"/>
        </w:rPr>
        <w:t xml:space="preserve"> </w:t>
      </w:r>
      <w:r w:rsidRPr="00A907DF">
        <w:rPr>
          <w:rFonts w:ascii="Arial" w:eastAsia="Times New Roman" w:hAnsi="Arial" w:cs="Arial"/>
          <w:color w:val="000000"/>
        </w:rPr>
        <w:t xml:space="preserve">program effectively and efficiently, while also </w:t>
      </w:r>
      <w:r w:rsidRPr="00DE625E">
        <w:rPr>
          <w:rFonts w:ascii="Arial" w:eastAsia="Times New Roman" w:hAnsi="Arial" w:cs="Arial"/>
          <w:color w:val="000000"/>
        </w:rPr>
        <w:t>maximizing</w:t>
      </w:r>
      <w:r w:rsidRPr="00A907DF">
        <w:rPr>
          <w:rFonts w:ascii="Arial" w:eastAsia="Times New Roman" w:hAnsi="Arial" w:cs="Arial"/>
          <w:color w:val="000000"/>
        </w:rPr>
        <w:t xml:space="preserve"> our profits and providing a solid, rigorous academic program.</w:t>
      </w:r>
    </w:p>
    <w:p w:rsidR="00DE625E" w:rsidRPr="00DE625E" w:rsidRDefault="00DE625E" w:rsidP="005056E0">
      <w:pPr>
        <w:rPr>
          <w:rFonts w:ascii="Arial" w:eastAsia="Times New Roman" w:hAnsi="Arial" w:cs="Arial"/>
          <w:color w:val="000000"/>
        </w:rPr>
      </w:pPr>
    </w:p>
    <w:p w:rsidR="00DE625E" w:rsidRPr="00DE625E" w:rsidRDefault="00DE625E" w:rsidP="005056E0">
      <w:pPr>
        <w:rPr>
          <w:rFonts w:ascii="Arial" w:eastAsia="Times New Roman" w:hAnsi="Arial" w:cs="Arial"/>
          <w:color w:val="000000"/>
        </w:rPr>
      </w:pPr>
    </w:p>
    <w:tbl>
      <w:tblPr>
        <w:tblW w:w="10260" w:type="dxa"/>
        <w:tblInd w:w="-432" w:type="dxa"/>
        <w:tblLook w:val="04A0"/>
      </w:tblPr>
      <w:tblGrid>
        <w:gridCol w:w="4950"/>
        <w:gridCol w:w="1710"/>
        <w:gridCol w:w="1800"/>
        <w:gridCol w:w="1800"/>
      </w:tblGrid>
      <w:tr w:rsidR="00DE625E" w:rsidRPr="00DE625E" w:rsidTr="00DE625E">
        <w:trPr>
          <w:trHeight w:val="300"/>
        </w:trPr>
        <w:tc>
          <w:tcPr>
            <w:tcW w:w="495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b/>
                <w:bCs/>
                <w:color w:val="000000"/>
              </w:rPr>
            </w:pPr>
            <w:r w:rsidRPr="00DE625E">
              <w:rPr>
                <w:rFonts w:ascii="Arial" w:eastAsia="Times New Roman" w:hAnsi="Arial" w:cs="Arial"/>
                <w:b/>
                <w:bCs/>
                <w:color w:val="000000"/>
              </w:rPr>
              <w:t>MES 12-13 Revenue Cost Analysis Summary</w:t>
            </w:r>
          </w:p>
        </w:tc>
        <w:tc>
          <w:tcPr>
            <w:tcW w:w="171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r>
      <w:tr w:rsidR="00DE625E" w:rsidRPr="00DE625E" w:rsidTr="00DE625E">
        <w:trPr>
          <w:trHeight w:val="300"/>
        </w:trPr>
        <w:tc>
          <w:tcPr>
            <w:tcW w:w="495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c>
          <w:tcPr>
            <w:tcW w:w="171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r>
      <w:tr w:rsidR="00DE625E" w:rsidRPr="00DE625E" w:rsidTr="00DE625E">
        <w:trPr>
          <w:trHeight w:val="300"/>
        </w:trPr>
        <w:tc>
          <w:tcPr>
            <w:tcW w:w="495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u w:val="single"/>
              </w:rPr>
            </w:pPr>
            <w:r w:rsidRPr="00DE625E">
              <w:rPr>
                <w:rFonts w:ascii="Arial" w:eastAsia="Times New Roman" w:hAnsi="Arial" w:cs="Arial"/>
                <w:color w:val="000000"/>
                <w:u w:val="single"/>
              </w:rPr>
              <w:t>Revenue</w:t>
            </w:r>
          </w:p>
        </w:tc>
        <w:tc>
          <w:tcPr>
            <w:tcW w:w="171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2010-11</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2011-12</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2012-13 (EST</w:t>
            </w:r>
            <w:r>
              <w:rPr>
                <w:rFonts w:ascii="Arial" w:eastAsia="Times New Roman" w:hAnsi="Arial" w:cs="Arial"/>
                <w:color w:val="000000"/>
              </w:rPr>
              <w:t>.</w:t>
            </w:r>
            <w:r w:rsidRPr="00DE625E">
              <w:rPr>
                <w:rFonts w:ascii="Arial" w:eastAsia="Times New Roman" w:hAnsi="Arial" w:cs="Arial"/>
                <w:color w:val="000000"/>
              </w:rPr>
              <w:t>)</w:t>
            </w:r>
          </w:p>
        </w:tc>
      </w:tr>
      <w:tr w:rsidR="00DE625E" w:rsidRPr="00DE625E" w:rsidTr="00DE625E">
        <w:trPr>
          <w:trHeight w:val="300"/>
        </w:trPr>
        <w:tc>
          <w:tcPr>
            <w:tcW w:w="495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Total Operating Fee Revenue</w:t>
            </w:r>
          </w:p>
        </w:tc>
        <w:tc>
          <w:tcPr>
            <w:tcW w:w="171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 xml:space="preserve"> $ 584,380.94 </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 xml:space="preserve"> $ 701,468.40 </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 xml:space="preserve"> $ 788,246.13 </w:t>
            </w:r>
          </w:p>
        </w:tc>
      </w:tr>
      <w:tr w:rsidR="00DE625E" w:rsidRPr="00DE625E" w:rsidTr="00DE625E">
        <w:trPr>
          <w:trHeight w:val="300"/>
        </w:trPr>
        <w:tc>
          <w:tcPr>
            <w:tcW w:w="495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total Waivers</w:t>
            </w:r>
          </w:p>
        </w:tc>
        <w:tc>
          <w:tcPr>
            <w:tcW w:w="1710" w:type="dxa"/>
            <w:tcBorders>
              <w:top w:val="nil"/>
              <w:left w:val="nil"/>
              <w:bottom w:val="single" w:sz="4" w:space="0" w:color="auto"/>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 xml:space="preserve"> $ 59,668.49 </w:t>
            </w:r>
          </w:p>
        </w:tc>
        <w:tc>
          <w:tcPr>
            <w:tcW w:w="1800" w:type="dxa"/>
            <w:tcBorders>
              <w:top w:val="nil"/>
              <w:left w:val="nil"/>
              <w:bottom w:val="single" w:sz="4" w:space="0" w:color="auto"/>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 xml:space="preserve"> $ 87,492.56 </w:t>
            </w:r>
          </w:p>
        </w:tc>
        <w:tc>
          <w:tcPr>
            <w:tcW w:w="1800" w:type="dxa"/>
            <w:tcBorders>
              <w:top w:val="nil"/>
              <w:left w:val="nil"/>
              <w:bottom w:val="single" w:sz="4" w:space="0" w:color="auto"/>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 xml:space="preserve"> $ 88,000.00 </w:t>
            </w:r>
          </w:p>
        </w:tc>
      </w:tr>
      <w:tr w:rsidR="00DE625E" w:rsidRPr="00DE625E" w:rsidTr="00DE625E">
        <w:trPr>
          <w:trHeight w:val="300"/>
        </w:trPr>
        <w:tc>
          <w:tcPr>
            <w:tcW w:w="495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Net Revenue</w:t>
            </w:r>
          </w:p>
        </w:tc>
        <w:tc>
          <w:tcPr>
            <w:tcW w:w="171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b/>
                <w:bCs/>
                <w:color w:val="000000"/>
              </w:rPr>
            </w:pPr>
            <w:r w:rsidRPr="00DE625E">
              <w:rPr>
                <w:rFonts w:ascii="Arial" w:eastAsia="Times New Roman" w:hAnsi="Arial" w:cs="Arial"/>
                <w:b/>
                <w:bCs/>
                <w:color w:val="000000"/>
              </w:rPr>
              <w:t xml:space="preserve"> $ 524,712.45 </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b/>
                <w:bCs/>
                <w:color w:val="000000"/>
              </w:rPr>
            </w:pPr>
            <w:r w:rsidRPr="00DE625E">
              <w:rPr>
                <w:rFonts w:ascii="Arial" w:eastAsia="Times New Roman" w:hAnsi="Arial" w:cs="Arial"/>
                <w:b/>
                <w:bCs/>
                <w:color w:val="000000"/>
              </w:rPr>
              <w:t xml:space="preserve"> $ 613,975.84 </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b/>
                <w:bCs/>
                <w:color w:val="000000"/>
              </w:rPr>
            </w:pPr>
            <w:r w:rsidRPr="00DE625E">
              <w:rPr>
                <w:rFonts w:ascii="Arial" w:eastAsia="Times New Roman" w:hAnsi="Arial" w:cs="Arial"/>
                <w:b/>
                <w:bCs/>
                <w:color w:val="000000"/>
              </w:rPr>
              <w:t xml:space="preserve"> $ 700,246.13 </w:t>
            </w:r>
          </w:p>
        </w:tc>
      </w:tr>
      <w:tr w:rsidR="00DE625E" w:rsidRPr="00DE625E" w:rsidTr="00DE625E">
        <w:trPr>
          <w:trHeight w:val="300"/>
        </w:trPr>
        <w:tc>
          <w:tcPr>
            <w:tcW w:w="495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c>
          <w:tcPr>
            <w:tcW w:w="171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r>
      <w:tr w:rsidR="00DE625E" w:rsidRPr="00DE625E" w:rsidTr="00DE625E">
        <w:trPr>
          <w:trHeight w:val="300"/>
        </w:trPr>
        <w:tc>
          <w:tcPr>
            <w:tcW w:w="495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u w:val="single"/>
              </w:rPr>
            </w:pPr>
            <w:r w:rsidRPr="00DE625E">
              <w:rPr>
                <w:rFonts w:ascii="Arial" w:eastAsia="Times New Roman" w:hAnsi="Arial" w:cs="Arial"/>
                <w:color w:val="000000"/>
                <w:u w:val="single"/>
              </w:rPr>
              <w:t>Revenue Increase</w:t>
            </w:r>
          </w:p>
        </w:tc>
        <w:tc>
          <w:tcPr>
            <w:tcW w:w="171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Pr>
                <w:rFonts w:ascii="Arial" w:eastAsia="Times New Roman" w:hAnsi="Arial" w:cs="Arial"/>
                <w:color w:val="000000"/>
              </w:rPr>
              <w:t>FY12 v.</w:t>
            </w:r>
            <w:r w:rsidRPr="00DE625E">
              <w:rPr>
                <w:rFonts w:ascii="Arial" w:eastAsia="Times New Roman" w:hAnsi="Arial" w:cs="Arial"/>
                <w:color w:val="000000"/>
              </w:rPr>
              <w:t xml:space="preserve"> FY 11</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FY 13 v. FY 12</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r>
      <w:tr w:rsidR="00DE625E" w:rsidRPr="00DE625E" w:rsidTr="00DE625E">
        <w:trPr>
          <w:trHeight w:val="300"/>
        </w:trPr>
        <w:tc>
          <w:tcPr>
            <w:tcW w:w="495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Total increase/(decrease)</w:t>
            </w:r>
            <w:r>
              <w:rPr>
                <w:rFonts w:ascii="Arial" w:eastAsia="Times New Roman" w:hAnsi="Arial" w:cs="Arial"/>
                <w:color w:val="000000"/>
              </w:rPr>
              <w:t xml:space="preserve"> over previous year</w:t>
            </w:r>
          </w:p>
        </w:tc>
        <w:tc>
          <w:tcPr>
            <w:tcW w:w="171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 xml:space="preserve"> $ 89,263.39 </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 xml:space="preserve"> $ 86,270.29 </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r>
      <w:tr w:rsidR="00DE625E" w:rsidRPr="00DE625E" w:rsidTr="00DE625E">
        <w:trPr>
          <w:trHeight w:val="300"/>
        </w:trPr>
        <w:tc>
          <w:tcPr>
            <w:tcW w:w="495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Pr>
                <w:rFonts w:ascii="Arial" w:eastAsia="Times New Roman" w:hAnsi="Arial" w:cs="Arial"/>
                <w:color w:val="000000"/>
              </w:rPr>
              <w:t>%</w:t>
            </w:r>
            <w:r w:rsidRPr="00DE625E">
              <w:rPr>
                <w:rFonts w:ascii="Arial" w:eastAsia="Times New Roman" w:hAnsi="Arial" w:cs="Arial"/>
                <w:color w:val="000000"/>
              </w:rPr>
              <w:t xml:space="preserve"> increase/(decrease)</w:t>
            </w:r>
            <w:r>
              <w:rPr>
                <w:rFonts w:ascii="Arial" w:eastAsia="Times New Roman" w:hAnsi="Arial" w:cs="Arial"/>
                <w:color w:val="000000"/>
              </w:rPr>
              <w:t xml:space="preserve"> over previous year</w:t>
            </w:r>
          </w:p>
        </w:tc>
        <w:tc>
          <w:tcPr>
            <w:tcW w:w="1710" w:type="dxa"/>
            <w:tcBorders>
              <w:top w:val="nil"/>
              <w:left w:val="nil"/>
              <w:bottom w:val="nil"/>
              <w:right w:val="nil"/>
            </w:tcBorders>
            <w:shd w:val="clear" w:color="auto" w:fill="auto"/>
            <w:noWrap/>
            <w:vAlign w:val="bottom"/>
            <w:hideMark/>
          </w:tcPr>
          <w:p w:rsidR="00DE625E" w:rsidRPr="00DE625E" w:rsidRDefault="00DE625E" w:rsidP="00DE625E">
            <w:pPr>
              <w:jc w:val="right"/>
              <w:rPr>
                <w:rFonts w:ascii="Arial" w:eastAsia="Times New Roman" w:hAnsi="Arial" w:cs="Arial"/>
                <w:color w:val="000000"/>
              </w:rPr>
            </w:pPr>
            <w:r w:rsidRPr="00DE625E">
              <w:rPr>
                <w:rFonts w:ascii="Arial" w:eastAsia="Times New Roman" w:hAnsi="Arial" w:cs="Arial"/>
                <w:color w:val="000000"/>
              </w:rPr>
              <w:t>17.01%</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jc w:val="right"/>
              <w:rPr>
                <w:rFonts w:ascii="Arial" w:eastAsia="Times New Roman" w:hAnsi="Arial" w:cs="Arial"/>
                <w:color w:val="000000"/>
              </w:rPr>
            </w:pPr>
            <w:r w:rsidRPr="00DE625E">
              <w:rPr>
                <w:rFonts w:ascii="Arial" w:eastAsia="Times New Roman" w:hAnsi="Arial" w:cs="Arial"/>
                <w:color w:val="000000"/>
              </w:rPr>
              <w:t>14%</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r>
      <w:tr w:rsidR="00DE625E" w:rsidRPr="00DE625E" w:rsidTr="00DE625E">
        <w:trPr>
          <w:trHeight w:val="300"/>
        </w:trPr>
        <w:tc>
          <w:tcPr>
            <w:tcW w:w="495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c>
          <w:tcPr>
            <w:tcW w:w="171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p>
        </w:tc>
      </w:tr>
      <w:tr w:rsidR="00DE625E" w:rsidRPr="00DE625E" w:rsidTr="00DE625E">
        <w:trPr>
          <w:trHeight w:val="300"/>
        </w:trPr>
        <w:tc>
          <w:tcPr>
            <w:tcW w:w="495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u w:val="single"/>
              </w:rPr>
            </w:pPr>
            <w:r w:rsidRPr="00DE625E">
              <w:rPr>
                <w:rFonts w:ascii="Arial" w:eastAsia="Times New Roman" w:hAnsi="Arial" w:cs="Arial"/>
                <w:color w:val="000000"/>
                <w:u w:val="single"/>
              </w:rPr>
              <w:t>Cost-Profit</w:t>
            </w:r>
          </w:p>
        </w:tc>
        <w:tc>
          <w:tcPr>
            <w:tcW w:w="171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2010-11</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2011-12 (EST</w:t>
            </w:r>
            <w:r>
              <w:rPr>
                <w:rFonts w:ascii="Arial" w:eastAsia="Times New Roman" w:hAnsi="Arial" w:cs="Arial"/>
                <w:color w:val="000000"/>
              </w:rPr>
              <w:t>.</w:t>
            </w:r>
            <w:r w:rsidRPr="00DE625E">
              <w:rPr>
                <w:rFonts w:ascii="Arial" w:eastAsia="Times New Roman" w:hAnsi="Arial" w:cs="Arial"/>
                <w:color w:val="000000"/>
              </w:rPr>
              <w:t>)</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2012-13 (EST</w:t>
            </w:r>
            <w:r>
              <w:rPr>
                <w:rFonts w:ascii="Arial" w:eastAsia="Times New Roman" w:hAnsi="Arial" w:cs="Arial"/>
                <w:color w:val="000000"/>
              </w:rPr>
              <w:t>.</w:t>
            </w:r>
            <w:r w:rsidRPr="00DE625E">
              <w:rPr>
                <w:rFonts w:ascii="Arial" w:eastAsia="Times New Roman" w:hAnsi="Arial" w:cs="Arial"/>
                <w:color w:val="000000"/>
              </w:rPr>
              <w:t>)</w:t>
            </w:r>
          </w:p>
        </w:tc>
      </w:tr>
      <w:tr w:rsidR="00DE625E" w:rsidRPr="00DE625E" w:rsidTr="00DE625E">
        <w:trPr>
          <w:trHeight w:val="300"/>
        </w:trPr>
        <w:tc>
          <w:tcPr>
            <w:tcW w:w="495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Total Direct Cost</w:t>
            </w:r>
          </w:p>
        </w:tc>
        <w:tc>
          <w:tcPr>
            <w:tcW w:w="171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 xml:space="preserve"> $ 529,087.00 </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 xml:space="preserve"> $ 546,564.00 </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 xml:space="preserve"> $ 552,665.50 </w:t>
            </w:r>
          </w:p>
        </w:tc>
      </w:tr>
      <w:tr w:rsidR="00DE625E" w:rsidRPr="00DE625E" w:rsidTr="00DE625E">
        <w:trPr>
          <w:trHeight w:val="300"/>
        </w:trPr>
        <w:tc>
          <w:tcPr>
            <w:tcW w:w="495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Profit/(Loss) - cost/net revenue</w:t>
            </w:r>
          </w:p>
        </w:tc>
        <w:tc>
          <w:tcPr>
            <w:tcW w:w="171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 xml:space="preserve"> $ (4,374.55)</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 xml:space="preserve"> $ 67,411.84 </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 xml:space="preserve"> $ 147,580.63 </w:t>
            </w:r>
          </w:p>
        </w:tc>
      </w:tr>
      <w:tr w:rsidR="00DE625E" w:rsidRPr="00DE625E" w:rsidTr="00DE625E">
        <w:trPr>
          <w:trHeight w:val="300"/>
        </w:trPr>
        <w:tc>
          <w:tcPr>
            <w:tcW w:w="495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Profit/(Loss) as % of Operating Revenue</w:t>
            </w:r>
          </w:p>
        </w:tc>
        <w:tc>
          <w:tcPr>
            <w:tcW w:w="1710" w:type="dxa"/>
            <w:tcBorders>
              <w:top w:val="nil"/>
              <w:left w:val="nil"/>
              <w:bottom w:val="nil"/>
              <w:right w:val="nil"/>
            </w:tcBorders>
            <w:shd w:val="clear" w:color="auto" w:fill="auto"/>
            <w:noWrap/>
            <w:vAlign w:val="bottom"/>
            <w:hideMark/>
          </w:tcPr>
          <w:p w:rsidR="00DE625E" w:rsidRPr="00DE625E" w:rsidRDefault="00DE625E" w:rsidP="00DE625E">
            <w:pPr>
              <w:jc w:val="right"/>
              <w:rPr>
                <w:rFonts w:ascii="Arial" w:eastAsia="Times New Roman" w:hAnsi="Arial" w:cs="Arial"/>
                <w:color w:val="000000"/>
              </w:rPr>
            </w:pPr>
            <w:r w:rsidRPr="00DE625E">
              <w:rPr>
                <w:rFonts w:ascii="Arial" w:eastAsia="Times New Roman" w:hAnsi="Arial" w:cs="Arial"/>
                <w:color w:val="000000"/>
              </w:rPr>
              <w:t>-0.75%</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jc w:val="right"/>
              <w:rPr>
                <w:rFonts w:ascii="Arial" w:eastAsia="Times New Roman" w:hAnsi="Arial" w:cs="Arial"/>
                <w:color w:val="000000"/>
              </w:rPr>
            </w:pPr>
            <w:r w:rsidRPr="00DE625E">
              <w:rPr>
                <w:rFonts w:ascii="Arial" w:eastAsia="Times New Roman" w:hAnsi="Arial" w:cs="Arial"/>
                <w:color w:val="000000"/>
              </w:rPr>
              <w:t>9.61%</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jc w:val="right"/>
              <w:rPr>
                <w:rFonts w:ascii="Arial" w:eastAsia="Times New Roman" w:hAnsi="Arial" w:cs="Arial"/>
                <w:color w:val="000000"/>
              </w:rPr>
            </w:pPr>
            <w:r w:rsidRPr="00DE625E">
              <w:rPr>
                <w:rFonts w:ascii="Arial" w:eastAsia="Times New Roman" w:hAnsi="Arial" w:cs="Arial"/>
                <w:color w:val="000000"/>
              </w:rPr>
              <w:t>18.72%</w:t>
            </w:r>
          </w:p>
        </w:tc>
      </w:tr>
      <w:tr w:rsidR="00DE625E" w:rsidRPr="00DE625E" w:rsidTr="00DE625E">
        <w:trPr>
          <w:trHeight w:val="300"/>
        </w:trPr>
        <w:tc>
          <w:tcPr>
            <w:tcW w:w="4950" w:type="dxa"/>
            <w:tcBorders>
              <w:top w:val="nil"/>
              <w:left w:val="nil"/>
              <w:bottom w:val="nil"/>
              <w:right w:val="nil"/>
            </w:tcBorders>
            <w:shd w:val="clear" w:color="auto" w:fill="auto"/>
            <w:noWrap/>
            <w:vAlign w:val="bottom"/>
            <w:hideMark/>
          </w:tcPr>
          <w:p w:rsidR="00DE625E" w:rsidRPr="00DE625E" w:rsidRDefault="00DE625E" w:rsidP="00DE625E">
            <w:pPr>
              <w:rPr>
                <w:rFonts w:ascii="Arial" w:eastAsia="Times New Roman" w:hAnsi="Arial" w:cs="Arial"/>
                <w:color w:val="000000"/>
              </w:rPr>
            </w:pPr>
            <w:r w:rsidRPr="00DE625E">
              <w:rPr>
                <w:rFonts w:ascii="Arial" w:eastAsia="Times New Roman" w:hAnsi="Arial" w:cs="Arial"/>
                <w:color w:val="000000"/>
              </w:rPr>
              <w:t>Profit/(Loss) as a % of Net Revenue</w:t>
            </w:r>
          </w:p>
        </w:tc>
        <w:tc>
          <w:tcPr>
            <w:tcW w:w="1710" w:type="dxa"/>
            <w:tcBorders>
              <w:top w:val="nil"/>
              <w:left w:val="nil"/>
              <w:bottom w:val="nil"/>
              <w:right w:val="nil"/>
            </w:tcBorders>
            <w:shd w:val="clear" w:color="auto" w:fill="auto"/>
            <w:noWrap/>
            <w:vAlign w:val="bottom"/>
            <w:hideMark/>
          </w:tcPr>
          <w:p w:rsidR="00DE625E" w:rsidRPr="00DE625E" w:rsidRDefault="00DE625E" w:rsidP="00DE625E">
            <w:pPr>
              <w:jc w:val="right"/>
              <w:rPr>
                <w:rFonts w:ascii="Arial" w:eastAsia="Times New Roman" w:hAnsi="Arial" w:cs="Arial"/>
                <w:color w:val="000000"/>
              </w:rPr>
            </w:pPr>
            <w:r w:rsidRPr="00DE625E">
              <w:rPr>
                <w:rFonts w:ascii="Arial" w:eastAsia="Times New Roman" w:hAnsi="Arial" w:cs="Arial"/>
                <w:color w:val="000000"/>
              </w:rPr>
              <w:t>-0.83%</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jc w:val="right"/>
              <w:rPr>
                <w:rFonts w:ascii="Arial" w:eastAsia="Times New Roman" w:hAnsi="Arial" w:cs="Arial"/>
                <w:color w:val="000000"/>
              </w:rPr>
            </w:pPr>
            <w:r w:rsidRPr="00DE625E">
              <w:rPr>
                <w:rFonts w:ascii="Arial" w:eastAsia="Times New Roman" w:hAnsi="Arial" w:cs="Arial"/>
                <w:color w:val="000000"/>
              </w:rPr>
              <w:t>10.98%</w:t>
            </w:r>
          </w:p>
        </w:tc>
        <w:tc>
          <w:tcPr>
            <w:tcW w:w="1800" w:type="dxa"/>
            <w:tcBorders>
              <w:top w:val="nil"/>
              <w:left w:val="nil"/>
              <w:bottom w:val="nil"/>
              <w:right w:val="nil"/>
            </w:tcBorders>
            <w:shd w:val="clear" w:color="auto" w:fill="auto"/>
            <w:noWrap/>
            <w:vAlign w:val="bottom"/>
            <w:hideMark/>
          </w:tcPr>
          <w:p w:rsidR="00DE625E" w:rsidRPr="00DE625E" w:rsidRDefault="00DE625E" w:rsidP="00DE625E">
            <w:pPr>
              <w:jc w:val="right"/>
              <w:rPr>
                <w:rFonts w:ascii="Arial" w:eastAsia="Times New Roman" w:hAnsi="Arial" w:cs="Arial"/>
                <w:color w:val="000000"/>
              </w:rPr>
            </w:pPr>
            <w:r w:rsidRPr="00DE625E">
              <w:rPr>
                <w:rFonts w:ascii="Arial" w:eastAsia="Times New Roman" w:hAnsi="Arial" w:cs="Arial"/>
                <w:color w:val="000000"/>
              </w:rPr>
              <w:t>21.08%</w:t>
            </w:r>
          </w:p>
        </w:tc>
      </w:tr>
    </w:tbl>
    <w:p w:rsidR="00DE625E" w:rsidRPr="00DE625E" w:rsidRDefault="00DE625E" w:rsidP="005056E0">
      <w:pPr>
        <w:rPr>
          <w:rFonts w:ascii="Arial" w:hAnsi="Arial" w:cs="Arial"/>
        </w:rPr>
      </w:pPr>
    </w:p>
    <w:sectPr w:rsidR="00DE625E" w:rsidRPr="00DE625E" w:rsidSect="00DE625E">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rsids>
    <w:rsidRoot w:val="005056E0"/>
    <w:rsid w:val="004044C2"/>
    <w:rsid w:val="005056E0"/>
    <w:rsid w:val="00DE625E"/>
    <w:rsid w:val="00F61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7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316</Words>
  <Characters>1802</Characters>
  <Application>Microsoft Office Word</Application>
  <DocSecurity>0</DocSecurity>
  <Lines>15</Lines>
  <Paragraphs>4</Paragraphs>
  <ScaleCrop>false</ScaleCrop>
  <Company>The Evergreen State College</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2</cp:revision>
  <cp:lastPrinted>2012-06-08T17:48:00Z</cp:lastPrinted>
  <dcterms:created xsi:type="dcterms:W3CDTF">2012-06-08T17:44:00Z</dcterms:created>
  <dcterms:modified xsi:type="dcterms:W3CDTF">2012-06-08T18:03:00Z</dcterms:modified>
</cp:coreProperties>
</file>