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1A" w:rsidRPr="00337CA9" w:rsidRDefault="006A3A1A" w:rsidP="006A3A1A">
      <w:pPr>
        <w:tabs>
          <w:tab w:val="left" w:pos="4820"/>
        </w:tabs>
        <w:jc w:val="center"/>
        <w:rPr>
          <w:rFonts w:ascii="Arial" w:hAnsi="Arial"/>
          <w:b/>
          <w:i/>
          <w:sz w:val="28"/>
        </w:rPr>
      </w:pPr>
      <w:r w:rsidRPr="00337CA9">
        <w:rPr>
          <w:rFonts w:ascii="Arial" w:hAnsi="Arial"/>
          <w:b/>
          <w:i/>
          <w:sz w:val="28"/>
        </w:rPr>
        <w:t>Teacher Performance Assessment (TPA)</w:t>
      </w:r>
    </w:p>
    <w:p w:rsidR="006A3A1A" w:rsidRPr="00337CA9" w:rsidRDefault="006A3A1A" w:rsidP="006A3A1A">
      <w:pPr>
        <w:tabs>
          <w:tab w:val="left" w:pos="4820"/>
        </w:tabs>
        <w:jc w:val="center"/>
        <w:rPr>
          <w:rFonts w:ascii="Arial" w:hAnsi="Arial"/>
          <w:b/>
          <w:sz w:val="28"/>
        </w:rPr>
      </w:pPr>
      <w:r w:rsidRPr="00337CA9">
        <w:rPr>
          <w:rFonts w:ascii="Arial" w:hAnsi="Arial"/>
          <w:b/>
          <w:sz w:val="28"/>
        </w:rPr>
        <w:t>Spring 2012 Pilot</w:t>
      </w:r>
    </w:p>
    <w:p w:rsidR="006A3A1A" w:rsidRPr="00337CA9" w:rsidRDefault="006A3A1A" w:rsidP="006A3A1A">
      <w:pPr>
        <w:tabs>
          <w:tab w:val="left" w:pos="4820"/>
        </w:tabs>
        <w:jc w:val="center"/>
        <w:rPr>
          <w:rFonts w:ascii="Arial" w:hAnsi="Arial"/>
          <w:b/>
          <w:sz w:val="28"/>
        </w:rPr>
      </w:pPr>
    </w:p>
    <w:p w:rsidR="006A3A1A" w:rsidRDefault="006A3A1A" w:rsidP="006A3A1A">
      <w:pPr>
        <w:tabs>
          <w:tab w:val="left" w:pos="4820"/>
        </w:tabs>
        <w:jc w:val="center"/>
        <w:rPr>
          <w:rFonts w:ascii="Arial" w:hAnsi="Arial"/>
          <w:b/>
          <w:sz w:val="28"/>
        </w:rPr>
      </w:pPr>
      <w:r w:rsidRPr="00337CA9">
        <w:rPr>
          <w:rFonts w:ascii="Arial" w:hAnsi="Arial"/>
          <w:b/>
          <w:sz w:val="28"/>
        </w:rPr>
        <w:t xml:space="preserve">National, Washington State IHE’s, and Evergreen MiT Program </w:t>
      </w:r>
    </w:p>
    <w:p w:rsidR="006A3A1A" w:rsidRPr="00337CA9" w:rsidRDefault="006A3A1A" w:rsidP="006A3A1A">
      <w:pPr>
        <w:tabs>
          <w:tab w:val="left" w:pos="4820"/>
        </w:tabs>
        <w:jc w:val="center"/>
        <w:rPr>
          <w:rFonts w:ascii="Arial" w:hAnsi="Arial"/>
          <w:b/>
          <w:sz w:val="28"/>
        </w:rPr>
      </w:pPr>
      <w:r w:rsidRPr="00337CA9">
        <w:rPr>
          <w:rFonts w:ascii="Arial" w:hAnsi="Arial"/>
          <w:b/>
          <w:sz w:val="28"/>
        </w:rPr>
        <w:t>Mea</w:t>
      </w:r>
      <w:r w:rsidR="00B42DDE">
        <w:rPr>
          <w:rFonts w:ascii="Arial" w:hAnsi="Arial"/>
          <w:b/>
          <w:sz w:val="28"/>
        </w:rPr>
        <w:t xml:space="preserve">n Scores </w:t>
      </w:r>
    </w:p>
    <w:p w:rsidR="00B57F56" w:rsidRDefault="00B57F56"/>
    <w:p w:rsidR="00B57F56" w:rsidRDefault="00B57F56"/>
    <w:p w:rsidR="006A3A1A" w:rsidRDefault="00B57F56">
      <w:r w:rsidRPr="00B57F56">
        <w:rPr>
          <w:noProof/>
        </w:rPr>
        <w:drawing>
          <wp:inline distT="0" distB="0" distL="0" distR="0">
            <wp:extent cx="6858000" cy="4974055"/>
            <wp:effectExtent l="25400" t="25400" r="0" b="4345"/>
            <wp:docPr id="3" name="C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A3A1A" w:rsidRDefault="006A3A1A"/>
    <w:p w:rsidR="006A3A1A" w:rsidRDefault="006A3A1A"/>
    <w:p w:rsidR="006A3A1A" w:rsidRDefault="006A3A1A"/>
    <w:p w:rsidR="006A3A1A" w:rsidRDefault="006A3A1A"/>
    <w:p w:rsidR="006A3A1A" w:rsidRDefault="006A3A1A"/>
    <w:p w:rsidR="006A3A1A" w:rsidRDefault="006A3A1A"/>
    <w:p w:rsidR="00F52FBC" w:rsidRDefault="00280181"/>
    <w:sectPr w:rsidR="00F52FBC" w:rsidSect="006A3A1A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A1A"/>
    <w:rsid w:val="00280181"/>
    <w:rsid w:val="00476CCF"/>
    <w:rsid w:val="006A3A1A"/>
    <w:rsid w:val="00B42DDE"/>
    <w:rsid w:val="00B57F56"/>
    <w:rsid w:val="00EC4D88"/>
    <w:rsid w:val="00EC5E44"/>
    <w:rsid w:val="00F6164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plotArea>
      <c:layout>
        <c:manualLayout>
          <c:layoutTarget val="inner"/>
          <c:xMode val="edge"/>
          <c:yMode val="edge"/>
          <c:x val="6.8797317002041433E-2"/>
          <c:y val="6.1437199575949113E-2"/>
          <c:w val="0.92889792942548821"/>
          <c:h val="0.7177344070329951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National Mean</c:v>
                </c:pt>
              </c:strCache>
            </c:strRef>
          </c:tx>
          <c:cat>
            <c:strRef>
              <c:f>Sheet1!$B$1:$Q$1</c:f>
              <c:strCache>
                <c:ptCount val="16"/>
                <c:pt idx="0">
                  <c:v>Planning 1</c:v>
                </c:pt>
                <c:pt idx="1">
                  <c:v>Planning 2a</c:v>
                </c:pt>
                <c:pt idx="2">
                  <c:v>Planning 2b</c:v>
                </c:pt>
                <c:pt idx="3">
                  <c:v>Planning3</c:v>
                </c:pt>
                <c:pt idx="4">
                  <c:v>Instructing1</c:v>
                </c:pt>
                <c:pt idx="5">
                  <c:v>Instructing2</c:v>
                </c:pt>
                <c:pt idx="6">
                  <c:v>Assessing1</c:v>
                </c:pt>
                <c:pt idx="7">
                  <c:v>Assessing2</c:v>
                </c:pt>
                <c:pt idx="8">
                  <c:v>Assessing3</c:v>
                </c:pt>
                <c:pt idx="9">
                  <c:v>Analyzing</c:v>
                </c:pt>
                <c:pt idx="10">
                  <c:v>AcadLang1</c:v>
                </c:pt>
                <c:pt idx="11">
                  <c:v>AcadLang2</c:v>
                </c:pt>
                <c:pt idx="12">
                  <c:v>AcadLang3</c:v>
                </c:pt>
                <c:pt idx="13">
                  <c:v>SV1</c:v>
                </c:pt>
                <c:pt idx="14">
                  <c:v>SV2</c:v>
                </c:pt>
                <c:pt idx="15">
                  <c:v>SV3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3.1</c:v>
                </c:pt>
                <c:pt idx="1">
                  <c:v>2.9</c:v>
                </c:pt>
                <c:pt idx="2">
                  <c:v>3</c:v>
                </c:pt>
                <c:pt idx="3">
                  <c:v>3</c:v>
                </c:pt>
                <c:pt idx="4">
                  <c:v>2.9</c:v>
                </c:pt>
                <c:pt idx="5">
                  <c:v>2.8</c:v>
                </c:pt>
                <c:pt idx="6">
                  <c:v>2.9</c:v>
                </c:pt>
                <c:pt idx="7">
                  <c:v>2.7</c:v>
                </c:pt>
                <c:pt idx="8">
                  <c:v>2.8</c:v>
                </c:pt>
                <c:pt idx="9">
                  <c:v>2.7</c:v>
                </c:pt>
                <c:pt idx="10">
                  <c:v>2.6</c:v>
                </c:pt>
                <c:pt idx="11">
                  <c:v>2.9</c:v>
                </c:pt>
                <c:pt idx="1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Washington Mean</c:v>
                </c:pt>
              </c:strCache>
            </c:strRef>
          </c:tx>
          <c:cat>
            <c:strRef>
              <c:f>Sheet1!$B$1:$Q$1</c:f>
              <c:strCache>
                <c:ptCount val="16"/>
                <c:pt idx="0">
                  <c:v>Planning 1</c:v>
                </c:pt>
                <c:pt idx="1">
                  <c:v>Planning 2a</c:v>
                </c:pt>
                <c:pt idx="2">
                  <c:v>Planning 2b</c:v>
                </c:pt>
                <c:pt idx="3">
                  <c:v>Planning3</c:v>
                </c:pt>
                <c:pt idx="4">
                  <c:v>Instructing1</c:v>
                </c:pt>
                <c:pt idx="5">
                  <c:v>Instructing2</c:v>
                </c:pt>
                <c:pt idx="6">
                  <c:v>Assessing1</c:v>
                </c:pt>
                <c:pt idx="7">
                  <c:v>Assessing2</c:v>
                </c:pt>
                <c:pt idx="8">
                  <c:v>Assessing3</c:v>
                </c:pt>
                <c:pt idx="9">
                  <c:v>Analyzing</c:v>
                </c:pt>
                <c:pt idx="10">
                  <c:v>AcadLang1</c:v>
                </c:pt>
                <c:pt idx="11">
                  <c:v>AcadLang2</c:v>
                </c:pt>
                <c:pt idx="12">
                  <c:v>AcadLang3</c:v>
                </c:pt>
                <c:pt idx="13">
                  <c:v>SV1</c:v>
                </c:pt>
                <c:pt idx="14">
                  <c:v>SV2</c:v>
                </c:pt>
                <c:pt idx="15">
                  <c:v>SV3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0">
                  <c:v>3.3</c:v>
                </c:pt>
                <c:pt idx="1">
                  <c:v>3.1</c:v>
                </c:pt>
                <c:pt idx="2">
                  <c:v>3.1</c:v>
                </c:pt>
                <c:pt idx="3">
                  <c:v>3.2</c:v>
                </c:pt>
                <c:pt idx="4">
                  <c:v>3</c:v>
                </c:pt>
                <c:pt idx="5">
                  <c:v>3</c:v>
                </c:pt>
                <c:pt idx="6">
                  <c:v>3.1</c:v>
                </c:pt>
                <c:pt idx="7">
                  <c:v>2.8</c:v>
                </c:pt>
                <c:pt idx="8">
                  <c:v>2.9</c:v>
                </c:pt>
                <c:pt idx="9">
                  <c:v>2.8</c:v>
                </c:pt>
                <c:pt idx="10">
                  <c:v>2.8</c:v>
                </c:pt>
                <c:pt idx="11">
                  <c:v>3</c:v>
                </c:pt>
                <c:pt idx="12">
                  <c:v>3</c:v>
                </c:pt>
                <c:pt idx="13">
                  <c:v>2.5</c:v>
                </c:pt>
                <c:pt idx="14">
                  <c:v>2.6</c:v>
                </c:pt>
                <c:pt idx="15">
                  <c:v>2.7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Evergreen MiT</c:v>
                </c:pt>
              </c:strCache>
            </c:strRef>
          </c:tx>
          <c:cat>
            <c:strRef>
              <c:f>Sheet1!$B$1:$Q$1</c:f>
              <c:strCache>
                <c:ptCount val="16"/>
                <c:pt idx="0">
                  <c:v>Planning 1</c:v>
                </c:pt>
                <c:pt idx="1">
                  <c:v>Planning 2a</c:v>
                </c:pt>
                <c:pt idx="2">
                  <c:v>Planning 2b</c:v>
                </c:pt>
                <c:pt idx="3">
                  <c:v>Planning3</c:v>
                </c:pt>
                <c:pt idx="4">
                  <c:v>Instructing1</c:v>
                </c:pt>
                <c:pt idx="5">
                  <c:v>Instructing2</c:v>
                </c:pt>
                <c:pt idx="6">
                  <c:v>Assessing1</c:v>
                </c:pt>
                <c:pt idx="7">
                  <c:v>Assessing2</c:v>
                </c:pt>
                <c:pt idx="8">
                  <c:v>Assessing3</c:v>
                </c:pt>
                <c:pt idx="9">
                  <c:v>Analyzing</c:v>
                </c:pt>
                <c:pt idx="10">
                  <c:v>AcadLang1</c:v>
                </c:pt>
                <c:pt idx="11">
                  <c:v>AcadLang2</c:v>
                </c:pt>
                <c:pt idx="12">
                  <c:v>AcadLang3</c:v>
                </c:pt>
                <c:pt idx="13">
                  <c:v>SV1</c:v>
                </c:pt>
                <c:pt idx="14">
                  <c:v>SV2</c:v>
                </c:pt>
                <c:pt idx="15">
                  <c:v>SV3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0">
                  <c:v>3.3</c:v>
                </c:pt>
                <c:pt idx="1">
                  <c:v>3.4</c:v>
                </c:pt>
                <c:pt idx="2">
                  <c:v>3.4</c:v>
                </c:pt>
                <c:pt idx="3">
                  <c:v>3.6</c:v>
                </c:pt>
                <c:pt idx="4">
                  <c:v>3.2</c:v>
                </c:pt>
                <c:pt idx="5">
                  <c:v>3.2</c:v>
                </c:pt>
                <c:pt idx="6">
                  <c:v>3.5</c:v>
                </c:pt>
                <c:pt idx="7">
                  <c:v>3.1</c:v>
                </c:pt>
                <c:pt idx="8">
                  <c:v>3.3</c:v>
                </c:pt>
                <c:pt idx="9">
                  <c:v>3.1</c:v>
                </c:pt>
                <c:pt idx="10">
                  <c:v>2.9</c:v>
                </c:pt>
                <c:pt idx="11">
                  <c:v>3.1</c:v>
                </c:pt>
                <c:pt idx="12">
                  <c:v>3</c:v>
                </c:pt>
                <c:pt idx="13">
                  <c:v>3.1</c:v>
                </c:pt>
                <c:pt idx="14">
                  <c:v>2.8</c:v>
                </c:pt>
                <c:pt idx="15">
                  <c:v>3.1</c:v>
                </c:pt>
              </c:numCache>
            </c:numRef>
          </c:val>
        </c:ser>
        <c:axId val="99020800"/>
        <c:axId val="117669888"/>
      </c:barChart>
      <c:catAx>
        <c:axId val="99020800"/>
        <c:scaling>
          <c:orientation val="minMax"/>
        </c:scaling>
        <c:axPos val="b"/>
        <c:tickLblPos val="nextTo"/>
        <c:spPr>
          <a:gradFill rotWithShape="1">
            <a:gsLst>
              <a:gs pos="0">
                <a:schemeClr val="accent3">
                  <a:tint val="50000"/>
                  <a:satMod val="300000"/>
                </a:schemeClr>
              </a:gs>
              <a:gs pos="35000">
                <a:schemeClr val="accent3">
                  <a:tint val="37000"/>
                  <a:satMod val="300000"/>
                </a:schemeClr>
              </a:gs>
              <a:gs pos="100000">
                <a:schemeClr val="accent3">
                  <a:tint val="15000"/>
                  <a:satMod val="350000"/>
                </a:schemeClr>
              </a:gs>
            </a:gsLst>
            <a:lin ang="16200000" scaled="1"/>
          </a:gradFill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669888"/>
        <c:crosses val="autoZero"/>
        <c:auto val="1"/>
        <c:lblAlgn val="ctr"/>
        <c:lblOffset val="100"/>
      </c:catAx>
      <c:valAx>
        <c:axId val="117669888"/>
        <c:scaling>
          <c:orientation val="minMax"/>
        </c:scaling>
        <c:axPos val="l"/>
        <c:majorGridlines/>
        <c:numFmt formatCode="General" sourceLinked="1"/>
        <c:tickLblPos val="nextTo"/>
        <c:crossAx val="9902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583691237544718"/>
          <c:y val="5.5813549163414404E-3"/>
          <c:w val="0.17323694954797311"/>
          <c:h val="0.19122837331764003"/>
        </c:manualLayout>
      </c:layout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pettyl</cp:lastModifiedBy>
  <cp:revision>2</cp:revision>
  <dcterms:created xsi:type="dcterms:W3CDTF">2012-09-25T17:36:00Z</dcterms:created>
  <dcterms:modified xsi:type="dcterms:W3CDTF">2012-09-25T17:36:00Z</dcterms:modified>
</cp:coreProperties>
</file>