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3C" w:rsidRDefault="0067773C" w:rsidP="0067773C">
      <w:r w:rsidRPr="0067773C">
        <w:rPr>
          <w:b/>
        </w:rPr>
        <w:t>Standard for student viewing LORs</w:t>
      </w:r>
      <w:r>
        <w:t>:</w:t>
      </w:r>
    </w:p>
    <w:p w:rsidR="0067773C" w:rsidRDefault="0067773C" w:rsidP="0067773C"/>
    <w:p w:rsidR="00E050DC" w:rsidRDefault="0067773C" w:rsidP="00E050DC">
      <w:r>
        <w:t xml:space="preserve">When a student completes the waiver, </w:t>
      </w:r>
      <w:r w:rsidR="00E050DC">
        <w:t>yes</w:t>
      </w:r>
      <w:r>
        <w:t xml:space="preserve"> waive my right to see, then they will not be able to view letters submitted on their behalf. If they say yes to waive access (which is what recommenders want) </w:t>
      </w:r>
      <w:r w:rsidR="002949CC">
        <w:t xml:space="preserve">&lt;-? </w:t>
      </w:r>
      <w:r>
        <w:t>then they can see the recommendation.</w:t>
      </w:r>
      <w:r w:rsidR="00E050DC" w:rsidRPr="00E050DC">
        <w:rPr>
          <w:color w:val="1F497D"/>
        </w:rPr>
        <w:t xml:space="preserve"> </w:t>
      </w:r>
      <w:r w:rsidR="00E050DC">
        <w:rPr>
          <w:color w:val="1F497D"/>
        </w:rPr>
        <w:t>The prospective students can easily ask their recommenders for copies if they so choose.</w:t>
      </w:r>
    </w:p>
    <w:p w:rsidR="0067773C" w:rsidRDefault="0067773C" w:rsidP="0067773C"/>
    <w:p w:rsidR="0067773C" w:rsidRDefault="0067773C" w:rsidP="0067773C">
      <w:r>
        <w:t xml:space="preserve">It is up to the program </w:t>
      </w:r>
      <w:r w:rsidR="00E050DC">
        <w:t xml:space="preserve">(MES, MiT, MPA) about when the student can view the letters </w:t>
      </w:r>
      <w:r>
        <w:t>if they have NOT waived access.</w:t>
      </w:r>
    </w:p>
    <w:p w:rsidR="0067773C" w:rsidRDefault="0067773C" w:rsidP="0067773C"/>
    <w:p w:rsidR="0067773C" w:rsidRDefault="0067773C" w:rsidP="0067773C">
      <w:r>
        <w:t>Recommenders know whether or not student has waived access to view.</w:t>
      </w:r>
    </w:p>
    <w:p w:rsidR="0067773C" w:rsidRDefault="0067773C" w:rsidP="0067773C"/>
    <w:p w:rsidR="0067773C" w:rsidRDefault="0067773C" w:rsidP="0067773C">
      <w:r>
        <w:t>UG practice is that they do not allow students to view. They do not ask the question.</w:t>
      </w:r>
      <w:r w:rsidR="002949CC">
        <w:t xml:space="preserve"> From Elaine in Registration: </w:t>
      </w:r>
      <w:r w:rsidR="002949CC">
        <w:rPr>
          <w:color w:val="1F497D"/>
        </w:rPr>
        <w:t>As an applicant, the student would not be considered an eligible student under FERPA so the inspect and review would not apply</w:t>
      </w:r>
      <w:r w:rsidR="00E050DC">
        <w:rPr>
          <w:color w:val="1F497D"/>
        </w:rPr>
        <w:t>.</w:t>
      </w:r>
    </w:p>
    <w:p w:rsidR="0067773C" w:rsidRDefault="0067773C" w:rsidP="0067773C"/>
    <w:p w:rsidR="0067773C" w:rsidRDefault="0067773C" w:rsidP="0067773C">
      <w:r>
        <w:t>What is legal or not in this case?</w:t>
      </w:r>
    </w:p>
    <w:p w:rsidR="0067773C" w:rsidRDefault="0067773C" w:rsidP="0067773C"/>
    <w:p w:rsidR="0067773C" w:rsidRDefault="0067773C" w:rsidP="0067773C">
      <w:r>
        <w:t>New Standard: We won’t except your recommendation until you check Y/N to the waiver. Is the waiver field not required? Must not be.</w:t>
      </w:r>
    </w:p>
    <w:p w:rsidR="0067773C" w:rsidRDefault="0067773C" w:rsidP="0067773C">
      <w:r>
        <w:rPr>
          <w:highlight w:val="yellow"/>
        </w:rPr>
        <w:t>Discussion for CollegeNet this summer:</w:t>
      </w:r>
      <w:r>
        <w:t>  Can we make this required?</w:t>
      </w:r>
      <w:r w:rsidR="00272ED8">
        <w:t xml:space="preserve">  - </w:t>
      </w:r>
      <w:proofErr w:type="gramStart"/>
      <w:r w:rsidR="00272ED8">
        <w:t>no</w:t>
      </w:r>
      <w:proofErr w:type="gramEnd"/>
      <w:r w:rsidR="00272ED8">
        <w:t>, we cannot require that the student waive their access to view per below:</w:t>
      </w:r>
    </w:p>
    <w:p w:rsidR="00E050DC" w:rsidRDefault="00E050DC" w:rsidP="0067773C"/>
    <w:p w:rsidR="00E050DC" w:rsidRDefault="00E050DC"/>
    <w:p w:rsidR="00675887" w:rsidRDefault="00675887">
      <w:r>
        <w:t>_____________________________________</w:t>
      </w:r>
    </w:p>
    <w:p w:rsidR="00675887" w:rsidRDefault="00675887">
      <w:hyperlink r:id="rId6" w:history="1">
        <w:r w:rsidRPr="00791B6E">
          <w:rPr>
            <w:rStyle w:val="Hyperlink"/>
          </w:rPr>
          <w:t>http://www2.ed.gov/policy/gen/guid/fpco/pdf/ferpareg</w:t>
        </w:r>
        <w:r w:rsidRPr="00791B6E">
          <w:rPr>
            <w:rStyle w:val="Hyperlink"/>
          </w:rPr>
          <w:t>s</w:t>
        </w:r>
        <w:r w:rsidRPr="00791B6E">
          <w:rPr>
            <w:rStyle w:val="Hyperlink"/>
          </w:rPr>
          <w:t>.pdf</w:t>
        </w:r>
      </w:hyperlink>
    </w:p>
    <w:p w:rsidR="00675887" w:rsidRDefault="00675887">
      <w:r>
        <w:t>7/7/16</w:t>
      </w:r>
    </w:p>
    <w:p w:rsidR="00675887" w:rsidRDefault="00675887"/>
    <w:p w:rsidR="00675887" w:rsidRPr="00675887" w:rsidRDefault="00675887" w:rsidP="00675887">
      <w:pPr>
        <w:rPr>
          <w:rFonts w:ascii="Arial" w:eastAsia="Times New Roman" w:hAnsi="Arial" w:cs="Arial"/>
          <w:sz w:val="30"/>
          <w:szCs w:val="30"/>
        </w:rPr>
      </w:pPr>
      <w:r w:rsidRPr="00675887">
        <w:rPr>
          <w:rFonts w:ascii="Arial" w:eastAsia="Times New Roman" w:hAnsi="Arial" w:cs="Arial"/>
          <w:sz w:val="30"/>
          <w:szCs w:val="30"/>
        </w:rPr>
        <w:t>§ 99.12 What limitations exist on the right to inspect and review records?</w:t>
      </w:r>
    </w:p>
    <w:p w:rsidR="00675887" w:rsidRPr="00675887" w:rsidRDefault="00675887" w:rsidP="00675887">
      <w:pPr>
        <w:rPr>
          <w:rFonts w:ascii="Arial" w:eastAsia="Times New Roman" w:hAnsi="Arial" w:cs="Arial"/>
          <w:sz w:val="30"/>
          <w:szCs w:val="30"/>
        </w:rPr>
      </w:pPr>
      <w:r w:rsidRPr="00675887">
        <w:rPr>
          <w:rFonts w:ascii="Arial" w:eastAsia="Times New Roman" w:hAnsi="Arial" w:cs="Arial"/>
          <w:sz w:val="30"/>
          <w:szCs w:val="30"/>
        </w:rPr>
        <w:t>(a) If the education records of a student contain information on more than one student, the parent or eligible student may inspect and review or be informed of only the specific information about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675887">
        <w:rPr>
          <w:rFonts w:ascii="Arial" w:eastAsia="Times New Roman" w:hAnsi="Arial" w:cs="Arial"/>
          <w:sz w:val="30"/>
          <w:szCs w:val="30"/>
        </w:rPr>
        <w:t>that student</w:t>
      </w:r>
    </w:p>
    <w:p w:rsidR="00675887" w:rsidRPr="00675887" w:rsidRDefault="00675887" w:rsidP="00675887">
      <w:pPr>
        <w:rPr>
          <w:rFonts w:ascii="Arial" w:eastAsia="Times New Roman" w:hAnsi="Arial" w:cs="Arial"/>
          <w:sz w:val="30"/>
          <w:szCs w:val="30"/>
        </w:rPr>
      </w:pPr>
      <w:r w:rsidRPr="00675887">
        <w:rPr>
          <w:rFonts w:ascii="Arial" w:eastAsia="Times New Roman" w:hAnsi="Arial" w:cs="Arial"/>
          <w:sz w:val="30"/>
          <w:szCs w:val="30"/>
        </w:rPr>
        <w:t>.</w:t>
      </w:r>
    </w:p>
    <w:p w:rsidR="00675887" w:rsidRPr="00675887" w:rsidRDefault="00675887" w:rsidP="00675887">
      <w:pPr>
        <w:rPr>
          <w:rFonts w:ascii="Arial" w:eastAsia="Times New Roman" w:hAnsi="Arial" w:cs="Arial"/>
          <w:sz w:val="30"/>
          <w:szCs w:val="30"/>
        </w:rPr>
      </w:pPr>
      <w:r w:rsidRPr="00675887">
        <w:rPr>
          <w:rFonts w:ascii="Arial" w:eastAsia="Times New Roman" w:hAnsi="Arial" w:cs="Arial"/>
          <w:sz w:val="30"/>
          <w:szCs w:val="30"/>
        </w:rPr>
        <w:t>(b) A postsecondary institution does not have to permit a student to inspect and review education records that are:</w:t>
      </w:r>
    </w:p>
    <w:p w:rsidR="00675887" w:rsidRPr="00675887" w:rsidRDefault="00675887" w:rsidP="00675887">
      <w:pPr>
        <w:rPr>
          <w:rFonts w:ascii="Arial" w:eastAsia="Times New Roman" w:hAnsi="Arial" w:cs="Arial"/>
          <w:sz w:val="30"/>
          <w:szCs w:val="30"/>
        </w:rPr>
      </w:pPr>
      <w:r w:rsidRPr="00675887">
        <w:rPr>
          <w:rFonts w:ascii="Arial" w:eastAsia="Times New Roman" w:hAnsi="Arial" w:cs="Arial"/>
          <w:sz w:val="30"/>
          <w:szCs w:val="30"/>
        </w:rPr>
        <w:t>(1) Financial records, including any information those records contain, of his or her parents;</w:t>
      </w:r>
    </w:p>
    <w:p w:rsidR="00675887" w:rsidRPr="00675887" w:rsidRDefault="00675887" w:rsidP="00675887">
      <w:pPr>
        <w:rPr>
          <w:rFonts w:ascii="Arial" w:eastAsia="Times New Roman" w:hAnsi="Arial" w:cs="Arial"/>
          <w:sz w:val="30"/>
          <w:szCs w:val="30"/>
        </w:rPr>
      </w:pPr>
      <w:r w:rsidRPr="00675887">
        <w:rPr>
          <w:rFonts w:ascii="Arial" w:eastAsia="Times New Roman" w:hAnsi="Arial" w:cs="Arial"/>
          <w:sz w:val="30"/>
          <w:szCs w:val="30"/>
        </w:rPr>
        <w:t xml:space="preserve">(2) Confidential letters and confidential statements of recommendation placed in the education records of the student </w:t>
      </w:r>
      <w:r w:rsidRPr="00675887">
        <w:rPr>
          <w:rFonts w:ascii="Arial" w:eastAsia="Times New Roman" w:hAnsi="Arial" w:cs="Arial"/>
          <w:sz w:val="30"/>
          <w:szCs w:val="30"/>
          <w:highlight w:val="yellow"/>
        </w:rPr>
        <w:t>before January 1, 1975</w:t>
      </w:r>
      <w:r w:rsidRPr="00675887">
        <w:rPr>
          <w:rFonts w:ascii="Arial" w:eastAsia="Times New Roman" w:hAnsi="Arial" w:cs="Arial"/>
          <w:sz w:val="30"/>
          <w:szCs w:val="30"/>
        </w:rPr>
        <w:t>, as long as the statements are used only for the purposes for which they were specifically intended; and</w:t>
      </w:r>
    </w:p>
    <w:p w:rsidR="00675887" w:rsidRPr="00675887" w:rsidRDefault="00675887" w:rsidP="00675887">
      <w:pPr>
        <w:rPr>
          <w:rFonts w:ascii="Arial" w:eastAsia="Times New Roman" w:hAnsi="Arial" w:cs="Arial"/>
          <w:sz w:val="30"/>
          <w:szCs w:val="30"/>
        </w:rPr>
      </w:pPr>
      <w:r w:rsidRPr="00675887">
        <w:rPr>
          <w:rFonts w:ascii="Arial" w:eastAsia="Times New Roman" w:hAnsi="Arial" w:cs="Arial"/>
          <w:sz w:val="30"/>
          <w:szCs w:val="30"/>
        </w:rPr>
        <w:lastRenderedPageBreak/>
        <w:t xml:space="preserve">(3) Confidential letters and confidential statements of recommendation placed in the student's education records </w:t>
      </w:r>
      <w:r w:rsidRPr="00675887">
        <w:rPr>
          <w:rFonts w:ascii="Arial" w:eastAsia="Times New Roman" w:hAnsi="Arial" w:cs="Arial"/>
          <w:sz w:val="30"/>
          <w:szCs w:val="30"/>
          <w:highlight w:val="yellow"/>
        </w:rPr>
        <w:t>after January 1, 1975, if</w:t>
      </w:r>
      <w:r w:rsidRPr="00675887">
        <w:rPr>
          <w:rFonts w:ascii="Arial" w:eastAsia="Times New Roman" w:hAnsi="Arial" w:cs="Arial"/>
          <w:sz w:val="30"/>
          <w:szCs w:val="30"/>
        </w:rPr>
        <w:t>:</w:t>
      </w:r>
    </w:p>
    <w:p w:rsidR="00675887" w:rsidRPr="00675887" w:rsidRDefault="00675887" w:rsidP="00675887">
      <w:pPr>
        <w:rPr>
          <w:rFonts w:ascii="Arial" w:eastAsia="Times New Roman" w:hAnsi="Arial" w:cs="Arial"/>
          <w:sz w:val="30"/>
          <w:szCs w:val="30"/>
        </w:rPr>
      </w:pPr>
      <w:r w:rsidRPr="00675887">
        <w:rPr>
          <w:rFonts w:ascii="Arial" w:eastAsia="Times New Roman" w:hAnsi="Arial" w:cs="Arial"/>
          <w:sz w:val="30"/>
          <w:szCs w:val="30"/>
        </w:rPr>
        <w:t>(</w:t>
      </w:r>
      <w:proofErr w:type="spellStart"/>
      <w:r w:rsidRPr="00675887">
        <w:rPr>
          <w:rFonts w:ascii="Arial" w:eastAsia="Times New Roman" w:hAnsi="Arial" w:cs="Arial"/>
          <w:sz w:val="30"/>
          <w:szCs w:val="30"/>
        </w:rPr>
        <w:t>i</w:t>
      </w:r>
      <w:proofErr w:type="spellEnd"/>
      <w:r w:rsidRPr="00675887">
        <w:rPr>
          <w:rFonts w:ascii="Arial" w:eastAsia="Times New Roman" w:hAnsi="Arial" w:cs="Arial"/>
          <w:sz w:val="30"/>
          <w:szCs w:val="30"/>
        </w:rPr>
        <w:t xml:space="preserve">) The student </w:t>
      </w:r>
      <w:r w:rsidRPr="00675887">
        <w:rPr>
          <w:rFonts w:ascii="Arial" w:eastAsia="Times New Roman" w:hAnsi="Arial" w:cs="Arial"/>
          <w:sz w:val="30"/>
          <w:szCs w:val="30"/>
          <w:highlight w:val="yellow"/>
        </w:rPr>
        <w:t>has waived</w:t>
      </w:r>
      <w:r w:rsidRPr="00675887">
        <w:rPr>
          <w:rFonts w:ascii="Arial" w:eastAsia="Times New Roman" w:hAnsi="Arial" w:cs="Arial"/>
          <w:sz w:val="30"/>
          <w:szCs w:val="30"/>
        </w:rPr>
        <w:t xml:space="preserve"> his or her right to inspect and review those letters and statements; and</w:t>
      </w:r>
    </w:p>
    <w:p w:rsidR="00675887" w:rsidRPr="00675887" w:rsidRDefault="00675887" w:rsidP="00675887">
      <w:pPr>
        <w:rPr>
          <w:rFonts w:ascii="Arial" w:eastAsia="Times New Roman" w:hAnsi="Arial" w:cs="Arial"/>
          <w:sz w:val="30"/>
          <w:szCs w:val="30"/>
        </w:rPr>
      </w:pPr>
      <w:r w:rsidRPr="00675887">
        <w:rPr>
          <w:rFonts w:ascii="Arial" w:eastAsia="Times New Roman" w:hAnsi="Arial" w:cs="Arial"/>
          <w:sz w:val="30"/>
          <w:szCs w:val="30"/>
        </w:rPr>
        <w:t xml:space="preserve">(ii) Those letters and statements </w:t>
      </w:r>
      <w:r w:rsidRPr="00675887">
        <w:rPr>
          <w:rFonts w:ascii="Arial" w:eastAsia="Times New Roman" w:hAnsi="Arial" w:cs="Arial"/>
          <w:sz w:val="30"/>
          <w:szCs w:val="30"/>
          <w:highlight w:val="yellow"/>
        </w:rPr>
        <w:t>are related to</w:t>
      </w:r>
      <w:r w:rsidRPr="00675887">
        <w:rPr>
          <w:rFonts w:ascii="Arial" w:eastAsia="Times New Roman" w:hAnsi="Arial" w:cs="Arial"/>
          <w:sz w:val="30"/>
          <w:szCs w:val="30"/>
        </w:rPr>
        <w:t xml:space="preserve"> the student's:</w:t>
      </w:r>
    </w:p>
    <w:p w:rsidR="00675887" w:rsidRPr="00675887" w:rsidRDefault="00675887" w:rsidP="00675887">
      <w:pPr>
        <w:rPr>
          <w:rFonts w:ascii="Arial" w:eastAsia="Times New Roman" w:hAnsi="Arial" w:cs="Arial"/>
          <w:sz w:val="30"/>
          <w:szCs w:val="30"/>
        </w:rPr>
      </w:pPr>
      <w:r w:rsidRPr="00675887">
        <w:rPr>
          <w:rFonts w:ascii="Arial" w:eastAsia="Times New Roman" w:hAnsi="Arial" w:cs="Arial"/>
          <w:sz w:val="30"/>
          <w:szCs w:val="30"/>
        </w:rPr>
        <w:t xml:space="preserve">(A) </w:t>
      </w:r>
      <w:r w:rsidRPr="00675887">
        <w:rPr>
          <w:rFonts w:ascii="Arial" w:eastAsia="Times New Roman" w:hAnsi="Arial" w:cs="Arial"/>
          <w:sz w:val="30"/>
          <w:szCs w:val="30"/>
          <w:highlight w:val="yellow"/>
        </w:rPr>
        <w:t>Admission to an educational institution</w:t>
      </w:r>
      <w:r w:rsidRPr="00675887">
        <w:rPr>
          <w:rFonts w:ascii="Arial" w:eastAsia="Times New Roman" w:hAnsi="Arial" w:cs="Arial"/>
          <w:sz w:val="30"/>
          <w:szCs w:val="30"/>
        </w:rPr>
        <w:t xml:space="preserve">; </w:t>
      </w:r>
    </w:p>
    <w:p w:rsidR="00675887" w:rsidRPr="00675887" w:rsidRDefault="00675887" w:rsidP="00675887">
      <w:pPr>
        <w:rPr>
          <w:rFonts w:ascii="Arial" w:eastAsia="Times New Roman" w:hAnsi="Arial" w:cs="Arial"/>
          <w:sz w:val="30"/>
          <w:szCs w:val="30"/>
        </w:rPr>
      </w:pPr>
      <w:r w:rsidRPr="00675887">
        <w:rPr>
          <w:rFonts w:ascii="Arial" w:eastAsia="Times New Roman" w:hAnsi="Arial" w:cs="Arial"/>
          <w:sz w:val="30"/>
          <w:szCs w:val="30"/>
        </w:rPr>
        <w:t>(B) Application for employment; or</w:t>
      </w:r>
    </w:p>
    <w:p w:rsidR="00675887" w:rsidRPr="00675887" w:rsidRDefault="00675887" w:rsidP="00675887">
      <w:pPr>
        <w:rPr>
          <w:rFonts w:ascii="Arial" w:eastAsia="Times New Roman" w:hAnsi="Arial" w:cs="Arial"/>
          <w:sz w:val="30"/>
          <w:szCs w:val="30"/>
        </w:rPr>
      </w:pPr>
      <w:r w:rsidRPr="00675887">
        <w:rPr>
          <w:rFonts w:ascii="Arial" w:eastAsia="Times New Roman" w:hAnsi="Arial" w:cs="Arial"/>
          <w:sz w:val="30"/>
          <w:szCs w:val="30"/>
        </w:rPr>
        <w:t>(C) Receipt of an honor or honorary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675887">
        <w:rPr>
          <w:rFonts w:ascii="Arial" w:eastAsia="Times New Roman" w:hAnsi="Arial" w:cs="Arial"/>
          <w:sz w:val="30"/>
          <w:szCs w:val="30"/>
        </w:rPr>
        <w:t>recognition.</w:t>
      </w:r>
    </w:p>
    <w:p w:rsidR="00675887" w:rsidRPr="00675887" w:rsidRDefault="00675887" w:rsidP="00675887">
      <w:pPr>
        <w:rPr>
          <w:rFonts w:ascii="Arial" w:eastAsia="Times New Roman" w:hAnsi="Arial" w:cs="Arial"/>
          <w:sz w:val="30"/>
          <w:szCs w:val="30"/>
        </w:rPr>
      </w:pPr>
    </w:p>
    <w:p w:rsidR="00675887" w:rsidRPr="00675887" w:rsidRDefault="00675887" w:rsidP="00675887">
      <w:pPr>
        <w:rPr>
          <w:rFonts w:ascii="Arial" w:eastAsia="Times New Roman" w:hAnsi="Arial" w:cs="Arial"/>
          <w:sz w:val="30"/>
          <w:szCs w:val="30"/>
          <w:highlight w:val="green"/>
        </w:rPr>
      </w:pPr>
      <w:r w:rsidRPr="00675887">
        <w:rPr>
          <w:rFonts w:ascii="Arial" w:eastAsia="Times New Roman" w:hAnsi="Arial" w:cs="Arial"/>
          <w:sz w:val="30"/>
          <w:szCs w:val="30"/>
          <w:highlight w:val="green"/>
        </w:rPr>
        <w:t>(c)(1) A waiver under paragraph (b</w:t>
      </w:r>
      <w:proofErr w:type="gramStart"/>
      <w:r w:rsidRPr="00675887">
        <w:rPr>
          <w:rFonts w:ascii="Arial" w:eastAsia="Times New Roman" w:hAnsi="Arial" w:cs="Arial"/>
          <w:sz w:val="30"/>
          <w:szCs w:val="30"/>
          <w:highlight w:val="green"/>
        </w:rPr>
        <w:t>)(</w:t>
      </w:r>
      <w:proofErr w:type="gramEnd"/>
      <w:r w:rsidRPr="00675887">
        <w:rPr>
          <w:rFonts w:ascii="Arial" w:eastAsia="Times New Roman" w:hAnsi="Arial" w:cs="Arial"/>
          <w:sz w:val="30"/>
          <w:szCs w:val="30"/>
          <w:highlight w:val="green"/>
        </w:rPr>
        <w:t>3)(</w:t>
      </w:r>
      <w:proofErr w:type="spellStart"/>
      <w:r w:rsidRPr="00675887">
        <w:rPr>
          <w:rFonts w:ascii="Arial" w:eastAsia="Times New Roman" w:hAnsi="Arial" w:cs="Arial"/>
          <w:sz w:val="30"/>
          <w:szCs w:val="30"/>
          <w:highlight w:val="green"/>
        </w:rPr>
        <w:t>i</w:t>
      </w:r>
      <w:proofErr w:type="spellEnd"/>
      <w:r w:rsidRPr="00675887">
        <w:rPr>
          <w:rFonts w:ascii="Arial" w:eastAsia="Times New Roman" w:hAnsi="Arial" w:cs="Arial"/>
          <w:sz w:val="30"/>
          <w:szCs w:val="30"/>
          <w:highlight w:val="green"/>
        </w:rPr>
        <w:t>) of this section is valid only if:</w:t>
      </w:r>
    </w:p>
    <w:p w:rsidR="00675887" w:rsidRPr="00675887" w:rsidRDefault="00675887" w:rsidP="00675887">
      <w:pPr>
        <w:rPr>
          <w:rFonts w:ascii="Arial" w:eastAsia="Times New Roman" w:hAnsi="Arial" w:cs="Arial"/>
          <w:sz w:val="30"/>
          <w:szCs w:val="30"/>
        </w:rPr>
      </w:pPr>
      <w:r w:rsidRPr="00675887">
        <w:rPr>
          <w:rFonts w:ascii="Arial" w:eastAsia="Times New Roman" w:hAnsi="Arial" w:cs="Arial"/>
          <w:sz w:val="30"/>
          <w:szCs w:val="30"/>
          <w:highlight w:val="green"/>
        </w:rPr>
        <w:t>(</w:t>
      </w:r>
      <w:proofErr w:type="spellStart"/>
      <w:r w:rsidRPr="00675887">
        <w:rPr>
          <w:rFonts w:ascii="Arial" w:eastAsia="Times New Roman" w:hAnsi="Arial" w:cs="Arial"/>
          <w:sz w:val="30"/>
          <w:szCs w:val="30"/>
          <w:highlight w:val="green"/>
        </w:rPr>
        <w:t>i</w:t>
      </w:r>
      <w:proofErr w:type="spellEnd"/>
      <w:r w:rsidRPr="00675887">
        <w:rPr>
          <w:rFonts w:ascii="Arial" w:eastAsia="Times New Roman" w:hAnsi="Arial" w:cs="Arial"/>
          <w:sz w:val="30"/>
          <w:szCs w:val="30"/>
          <w:highlight w:val="green"/>
        </w:rPr>
        <w:t>) The educational agency or institution does not require the waiver as a condition for admission</w:t>
      </w:r>
      <w:bookmarkStart w:id="0" w:name="_GoBack"/>
      <w:bookmarkEnd w:id="0"/>
      <w:r w:rsidRPr="00675887">
        <w:rPr>
          <w:rFonts w:ascii="Arial" w:eastAsia="Times New Roman" w:hAnsi="Arial" w:cs="Arial"/>
          <w:sz w:val="30"/>
          <w:szCs w:val="30"/>
        </w:rPr>
        <w:t xml:space="preserve"> to or receipt of a service or benefit from the agency or institution; and</w:t>
      </w:r>
    </w:p>
    <w:p w:rsidR="00675887" w:rsidRPr="00675887" w:rsidRDefault="00675887" w:rsidP="00675887">
      <w:pPr>
        <w:rPr>
          <w:rFonts w:ascii="Arial" w:eastAsia="Times New Roman" w:hAnsi="Arial" w:cs="Arial"/>
          <w:sz w:val="30"/>
          <w:szCs w:val="30"/>
        </w:rPr>
      </w:pPr>
      <w:r w:rsidRPr="00675887">
        <w:rPr>
          <w:rFonts w:ascii="Arial" w:eastAsia="Times New Roman" w:hAnsi="Arial" w:cs="Arial"/>
          <w:sz w:val="30"/>
          <w:szCs w:val="30"/>
        </w:rPr>
        <w:t>(ii) The waiver is made in writing and signed by the student, regardless of age.</w:t>
      </w:r>
    </w:p>
    <w:p w:rsidR="00675887" w:rsidRPr="00675887" w:rsidRDefault="00675887" w:rsidP="00675887">
      <w:pPr>
        <w:rPr>
          <w:rFonts w:ascii="Arial" w:eastAsia="Times New Roman" w:hAnsi="Arial" w:cs="Arial"/>
          <w:sz w:val="30"/>
          <w:szCs w:val="30"/>
        </w:rPr>
      </w:pPr>
      <w:r w:rsidRPr="00675887">
        <w:rPr>
          <w:rFonts w:ascii="Arial" w:eastAsia="Times New Roman" w:hAnsi="Arial" w:cs="Arial"/>
          <w:sz w:val="30"/>
          <w:szCs w:val="30"/>
        </w:rPr>
        <w:t>(2) If a student has waived his or her rights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675887">
        <w:rPr>
          <w:rFonts w:ascii="Arial" w:eastAsia="Times New Roman" w:hAnsi="Arial" w:cs="Arial"/>
          <w:sz w:val="30"/>
          <w:szCs w:val="30"/>
        </w:rPr>
        <w:t>under paragraph (b</w:t>
      </w:r>
      <w:proofErr w:type="gramStart"/>
      <w:r w:rsidRPr="00675887">
        <w:rPr>
          <w:rFonts w:ascii="Arial" w:eastAsia="Times New Roman" w:hAnsi="Arial" w:cs="Arial"/>
          <w:sz w:val="30"/>
          <w:szCs w:val="30"/>
        </w:rPr>
        <w:t>)(</w:t>
      </w:r>
      <w:proofErr w:type="gramEnd"/>
      <w:r w:rsidRPr="00675887">
        <w:rPr>
          <w:rFonts w:ascii="Arial" w:eastAsia="Times New Roman" w:hAnsi="Arial" w:cs="Arial"/>
          <w:sz w:val="30"/>
          <w:szCs w:val="30"/>
        </w:rPr>
        <w:t>3)(</w:t>
      </w:r>
      <w:proofErr w:type="spellStart"/>
      <w:r w:rsidRPr="00675887">
        <w:rPr>
          <w:rFonts w:ascii="Arial" w:eastAsia="Times New Roman" w:hAnsi="Arial" w:cs="Arial"/>
          <w:sz w:val="30"/>
          <w:szCs w:val="30"/>
        </w:rPr>
        <w:t>i</w:t>
      </w:r>
      <w:proofErr w:type="spellEnd"/>
      <w:r w:rsidRPr="00675887">
        <w:rPr>
          <w:rFonts w:ascii="Arial" w:eastAsia="Times New Roman" w:hAnsi="Arial" w:cs="Arial"/>
          <w:sz w:val="30"/>
          <w:szCs w:val="30"/>
        </w:rPr>
        <w:t>) of this section, the educational institution shall:</w:t>
      </w:r>
    </w:p>
    <w:p w:rsidR="00675887" w:rsidRPr="00675887" w:rsidRDefault="00675887" w:rsidP="00675887">
      <w:pPr>
        <w:rPr>
          <w:rFonts w:ascii="Arial" w:eastAsia="Times New Roman" w:hAnsi="Arial" w:cs="Arial"/>
          <w:sz w:val="30"/>
          <w:szCs w:val="30"/>
        </w:rPr>
      </w:pPr>
      <w:r w:rsidRPr="00675887">
        <w:rPr>
          <w:rFonts w:ascii="Arial" w:eastAsia="Times New Roman" w:hAnsi="Arial" w:cs="Arial"/>
          <w:sz w:val="30"/>
          <w:szCs w:val="30"/>
        </w:rPr>
        <w:t>(</w:t>
      </w:r>
      <w:proofErr w:type="spellStart"/>
      <w:r w:rsidRPr="00675887">
        <w:rPr>
          <w:rFonts w:ascii="Arial" w:eastAsia="Times New Roman" w:hAnsi="Arial" w:cs="Arial"/>
          <w:sz w:val="30"/>
          <w:szCs w:val="30"/>
        </w:rPr>
        <w:t>i</w:t>
      </w:r>
      <w:proofErr w:type="spellEnd"/>
      <w:r w:rsidRPr="00675887">
        <w:rPr>
          <w:rFonts w:ascii="Arial" w:eastAsia="Times New Roman" w:hAnsi="Arial" w:cs="Arial"/>
          <w:sz w:val="30"/>
          <w:szCs w:val="30"/>
        </w:rPr>
        <w:t>) Give the student, on request, the names of the individuals who provided the letters and statements of recommendation; and</w:t>
      </w:r>
    </w:p>
    <w:p w:rsidR="00675887" w:rsidRPr="00675887" w:rsidRDefault="00675887" w:rsidP="00675887">
      <w:pPr>
        <w:rPr>
          <w:rFonts w:ascii="Arial" w:eastAsia="Times New Roman" w:hAnsi="Arial" w:cs="Arial"/>
          <w:sz w:val="30"/>
          <w:szCs w:val="30"/>
        </w:rPr>
      </w:pPr>
      <w:r w:rsidRPr="00675887">
        <w:rPr>
          <w:rFonts w:ascii="Arial" w:eastAsia="Times New Roman" w:hAnsi="Arial" w:cs="Arial"/>
          <w:sz w:val="30"/>
          <w:szCs w:val="30"/>
        </w:rPr>
        <w:t>(ii) Use the letters and statements of recommendation only for the purpose for which they were intended.</w:t>
      </w:r>
    </w:p>
    <w:p w:rsidR="00675887" w:rsidRPr="00675887" w:rsidRDefault="00675887" w:rsidP="00675887">
      <w:pPr>
        <w:rPr>
          <w:rFonts w:ascii="Arial" w:eastAsia="Times New Roman" w:hAnsi="Arial" w:cs="Arial"/>
          <w:sz w:val="30"/>
          <w:szCs w:val="30"/>
        </w:rPr>
      </w:pPr>
      <w:r w:rsidRPr="00675887">
        <w:rPr>
          <w:rFonts w:ascii="Arial" w:eastAsia="Times New Roman" w:hAnsi="Arial" w:cs="Arial"/>
          <w:sz w:val="30"/>
          <w:szCs w:val="30"/>
        </w:rPr>
        <w:t>(3)(</w:t>
      </w:r>
      <w:proofErr w:type="spellStart"/>
      <w:r w:rsidRPr="00675887">
        <w:rPr>
          <w:rFonts w:ascii="Arial" w:eastAsia="Times New Roman" w:hAnsi="Arial" w:cs="Arial"/>
          <w:sz w:val="30"/>
          <w:szCs w:val="30"/>
        </w:rPr>
        <w:t>i</w:t>
      </w:r>
      <w:proofErr w:type="spellEnd"/>
      <w:r w:rsidRPr="00675887">
        <w:rPr>
          <w:rFonts w:ascii="Arial" w:eastAsia="Times New Roman" w:hAnsi="Arial" w:cs="Arial"/>
          <w:sz w:val="30"/>
          <w:szCs w:val="30"/>
        </w:rPr>
        <w:t>) A waiver under paragraph (b</w:t>
      </w:r>
      <w:proofErr w:type="gramStart"/>
      <w:r w:rsidRPr="00675887">
        <w:rPr>
          <w:rFonts w:ascii="Arial" w:eastAsia="Times New Roman" w:hAnsi="Arial" w:cs="Arial"/>
          <w:sz w:val="30"/>
          <w:szCs w:val="30"/>
        </w:rPr>
        <w:t>)(</w:t>
      </w:r>
      <w:proofErr w:type="gramEnd"/>
      <w:r w:rsidRPr="00675887">
        <w:rPr>
          <w:rFonts w:ascii="Arial" w:eastAsia="Times New Roman" w:hAnsi="Arial" w:cs="Arial"/>
          <w:sz w:val="30"/>
          <w:szCs w:val="30"/>
        </w:rPr>
        <w:t>3)(</w:t>
      </w:r>
      <w:proofErr w:type="spellStart"/>
      <w:r w:rsidRPr="00675887">
        <w:rPr>
          <w:rFonts w:ascii="Arial" w:eastAsia="Times New Roman" w:hAnsi="Arial" w:cs="Arial"/>
          <w:sz w:val="30"/>
          <w:szCs w:val="30"/>
        </w:rPr>
        <w:t>i</w:t>
      </w:r>
      <w:proofErr w:type="spellEnd"/>
      <w:r w:rsidRPr="00675887">
        <w:rPr>
          <w:rFonts w:ascii="Arial" w:eastAsia="Times New Roman" w:hAnsi="Arial" w:cs="Arial"/>
          <w:sz w:val="30"/>
          <w:szCs w:val="30"/>
        </w:rPr>
        <w:t>) of this section may be revoked with respect to any actions occurring after the revocation.</w:t>
      </w:r>
    </w:p>
    <w:p w:rsidR="00675887" w:rsidRPr="00675887" w:rsidRDefault="00675887" w:rsidP="00675887">
      <w:pPr>
        <w:rPr>
          <w:rFonts w:ascii="Arial" w:eastAsia="Times New Roman" w:hAnsi="Arial" w:cs="Arial"/>
          <w:sz w:val="30"/>
          <w:szCs w:val="30"/>
        </w:rPr>
      </w:pPr>
      <w:r w:rsidRPr="00675887">
        <w:rPr>
          <w:rFonts w:ascii="Arial" w:eastAsia="Times New Roman" w:hAnsi="Arial" w:cs="Arial"/>
          <w:sz w:val="30"/>
          <w:szCs w:val="30"/>
        </w:rPr>
        <w:t>(ii) A revocation under paragraph (c</w:t>
      </w:r>
      <w:proofErr w:type="gramStart"/>
      <w:r w:rsidRPr="00675887">
        <w:rPr>
          <w:rFonts w:ascii="Arial" w:eastAsia="Times New Roman" w:hAnsi="Arial" w:cs="Arial"/>
          <w:sz w:val="30"/>
          <w:szCs w:val="30"/>
        </w:rPr>
        <w:t>)(</w:t>
      </w:r>
      <w:proofErr w:type="gramEnd"/>
      <w:r w:rsidRPr="00675887">
        <w:rPr>
          <w:rFonts w:ascii="Arial" w:eastAsia="Times New Roman" w:hAnsi="Arial" w:cs="Arial"/>
          <w:sz w:val="30"/>
          <w:szCs w:val="30"/>
        </w:rPr>
        <w:t>3)(</w:t>
      </w:r>
      <w:proofErr w:type="spellStart"/>
      <w:r w:rsidRPr="00675887">
        <w:rPr>
          <w:rFonts w:ascii="Arial" w:eastAsia="Times New Roman" w:hAnsi="Arial" w:cs="Arial"/>
          <w:sz w:val="30"/>
          <w:szCs w:val="30"/>
        </w:rPr>
        <w:t>i</w:t>
      </w:r>
      <w:proofErr w:type="spellEnd"/>
      <w:r w:rsidRPr="00675887">
        <w:rPr>
          <w:rFonts w:ascii="Arial" w:eastAsia="Times New Roman" w:hAnsi="Arial" w:cs="Arial"/>
          <w:sz w:val="30"/>
          <w:szCs w:val="30"/>
        </w:rPr>
        <w:t xml:space="preserve">) of this section must </w:t>
      </w:r>
    </w:p>
    <w:p w:rsidR="00675887" w:rsidRPr="00675887" w:rsidRDefault="00675887" w:rsidP="00675887">
      <w:pPr>
        <w:rPr>
          <w:rFonts w:ascii="Arial" w:eastAsia="Times New Roman" w:hAnsi="Arial" w:cs="Arial"/>
          <w:sz w:val="30"/>
          <w:szCs w:val="30"/>
        </w:rPr>
      </w:pPr>
      <w:proofErr w:type="gramStart"/>
      <w:r w:rsidRPr="00675887">
        <w:rPr>
          <w:rFonts w:ascii="Arial" w:eastAsia="Times New Roman" w:hAnsi="Arial" w:cs="Arial"/>
          <w:sz w:val="30"/>
          <w:szCs w:val="30"/>
        </w:rPr>
        <w:t>be</w:t>
      </w:r>
      <w:proofErr w:type="gramEnd"/>
      <w:r w:rsidRPr="00675887">
        <w:rPr>
          <w:rFonts w:ascii="Arial" w:eastAsia="Times New Roman" w:hAnsi="Arial" w:cs="Arial"/>
          <w:sz w:val="30"/>
          <w:szCs w:val="30"/>
        </w:rPr>
        <w:t xml:space="preserve"> in writing.</w:t>
      </w:r>
    </w:p>
    <w:p w:rsidR="00675887" w:rsidRPr="00675887" w:rsidRDefault="00675887" w:rsidP="00675887">
      <w:pPr>
        <w:rPr>
          <w:rFonts w:ascii="Arial" w:eastAsia="Times New Roman" w:hAnsi="Arial" w:cs="Arial"/>
          <w:sz w:val="30"/>
          <w:szCs w:val="30"/>
        </w:rPr>
      </w:pPr>
      <w:r w:rsidRPr="00675887">
        <w:rPr>
          <w:rFonts w:ascii="Arial" w:eastAsia="Times New Roman" w:hAnsi="Arial" w:cs="Arial"/>
          <w:sz w:val="30"/>
          <w:szCs w:val="30"/>
        </w:rPr>
        <w:t xml:space="preserve">(Authority: 20 U.S.C. </w:t>
      </w:r>
      <w:proofErr w:type="gramStart"/>
      <w:r w:rsidRPr="00675887">
        <w:rPr>
          <w:rFonts w:ascii="Arial" w:eastAsia="Times New Roman" w:hAnsi="Arial" w:cs="Arial"/>
          <w:sz w:val="30"/>
          <w:szCs w:val="30"/>
        </w:rPr>
        <w:t>1232g(</w:t>
      </w:r>
      <w:proofErr w:type="gramEnd"/>
      <w:r w:rsidRPr="00675887">
        <w:rPr>
          <w:rFonts w:ascii="Arial" w:eastAsia="Times New Roman" w:hAnsi="Arial" w:cs="Arial"/>
          <w:sz w:val="30"/>
          <w:szCs w:val="30"/>
        </w:rPr>
        <w:t>a)(1) (A), (B), (C), and (D))</w:t>
      </w:r>
    </w:p>
    <w:p w:rsidR="00675887" w:rsidRDefault="00675887" w:rsidP="00675887">
      <w:r>
        <w:t>_____________________________________</w:t>
      </w:r>
    </w:p>
    <w:p w:rsidR="00675887" w:rsidRDefault="00675887"/>
    <w:p w:rsidR="00675887" w:rsidRDefault="00675887"/>
    <w:sectPr w:rsidR="0067588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0DC" w:rsidRDefault="00E050DC" w:rsidP="00E050DC">
      <w:r>
        <w:separator/>
      </w:r>
    </w:p>
  </w:endnote>
  <w:endnote w:type="continuationSeparator" w:id="0">
    <w:p w:rsidR="00E050DC" w:rsidRDefault="00E050DC" w:rsidP="00E0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0DC" w:rsidRDefault="00E050DC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675887">
      <w:rPr>
        <w:noProof/>
      </w:rPr>
      <w:t>7/7/2016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0DC" w:rsidRDefault="00E050DC" w:rsidP="00E050DC">
      <w:r>
        <w:separator/>
      </w:r>
    </w:p>
  </w:footnote>
  <w:footnote w:type="continuationSeparator" w:id="0">
    <w:p w:rsidR="00E050DC" w:rsidRDefault="00E050DC" w:rsidP="00E05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3C"/>
    <w:rsid w:val="00272ED8"/>
    <w:rsid w:val="002949CC"/>
    <w:rsid w:val="005E43CD"/>
    <w:rsid w:val="00675887"/>
    <w:rsid w:val="0067773C"/>
    <w:rsid w:val="00822EDB"/>
    <w:rsid w:val="00D6062E"/>
    <w:rsid w:val="00E0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613B07-63EB-4748-9EB0-6DEA2F01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73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0D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5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0D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0DC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675887"/>
  </w:style>
  <w:style w:type="character" w:styleId="Hyperlink">
    <w:name w:val="Hyperlink"/>
    <w:basedOn w:val="DefaultParagraphFont"/>
    <w:uiPriority w:val="99"/>
    <w:unhideWhenUsed/>
    <w:rsid w:val="006758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58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ed.gov/policy/gen/guid/fpco/pdf/ferparegs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Gruver, Sandra</dc:creator>
  <cp:lastModifiedBy>Mobbs, Amanda</cp:lastModifiedBy>
  <cp:revision>5</cp:revision>
  <dcterms:created xsi:type="dcterms:W3CDTF">2015-04-14T17:58:00Z</dcterms:created>
  <dcterms:modified xsi:type="dcterms:W3CDTF">2016-07-07T23:34:00Z</dcterms:modified>
</cp:coreProperties>
</file>